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er"/>
        <w:jc w:val="center"/>
        <w:rPr>
          <w:rFonts w:ascii="Aptos Display" w:hAnsi="Aptos Display"/>
        </w:rPr>
      </w:pPr>
      <w:r>
        <w:rPr/>
        <w:drawing>
          <wp:inline distT="0" distB="0" distL="0" distR="0">
            <wp:extent cx="4038600" cy="1059180"/>
            <wp:effectExtent l="0" t="0" r="0" b="0"/>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2"/>
                    <a:stretch>
                      <a:fillRect/>
                    </a:stretch>
                  </pic:blipFill>
                  <pic:spPr bwMode="auto">
                    <a:xfrm>
                      <a:off x="0" y="0"/>
                      <a:ext cx="4038600" cy="1059180"/>
                    </a:xfrm>
                    <a:prstGeom prst="rect">
                      <a:avLst/>
                    </a:prstGeom>
                    <a:noFill/>
                  </pic:spPr>
                </pic:pic>
              </a:graphicData>
            </a:graphic>
          </wp:inline>
        </w:drawing>
      </w:r>
    </w:p>
    <w:p>
      <w:pPr>
        <w:pStyle w:val="Header"/>
        <w:jc w:val="center"/>
        <w:rPr>
          <w:rFonts w:ascii="Aptos Display" w:hAnsi="Aptos Display"/>
        </w:rPr>
      </w:pPr>
      <w:r>
        <w:rPr>
          <w:rFonts w:cs="Arial" w:ascii="Aptos Display" w:hAnsi="Aptos Display"/>
          <w:b/>
          <w:sz w:val="28"/>
        </w:rPr>
        <w:t>www.nswrogaining.org</w:t>
      </w:r>
    </w:p>
    <w:p>
      <w:pPr>
        <w:pStyle w:val="Normal"/>
        <w:ind w:hanging="0" w:start="0"/>
        <w:jc w:val="end"/>
        <w:rPr>
          <w:rFonts w:ascii="Aptos Display" w:hAnsi="Aptos Display" w:cs="Arial"/>
        </w:rPr>
      </w:pPr>
      <w:r>
        <w:rPr>
          <w:rFonts w:cs="Arial" w:ascii="Aptos Display" w:hAnsi="Aptos Display"/>
          <w:color w:val="FF0000"/>
          <w:sz w:val="27"/>
          <w:szCs w:val="27"/>
          <w:shd w:fill="auto" w:val="clear"/>
        </w:rPr>
        <w:t>DRAFT</w:t>
      </w:r>
    </w:p>
    <w:p>
      <w:pPr>
        <w:pStyle w:val="Normal"/>
        <w:ind w:start="1986"/>
        <w:jc w:val="start"/>
        <w:rPr/>
      </w:pPr>
      <w:r>
        <w:rPr>
          <w:rFonts w:cs="Arial" w:ascii="Aptos Display" w:hAnsi="Aptos Display"/>
          <w:sz w:val="27"/>
          <w:szCs w:val="27"/>
        </w:rPr>
        <w:t>Minutes for the Annual General Meeting of the</w:t>
      </w:r>
    </w:p>
    <w:p>
      <w:pPr>
        <w:pStyle w:val="Normal"/>
        <w:spacing w:lineRule="exact" w:line="12"/>
        <w:rPr>
          <w:rFonts w:ascii="Aptos Display" w:hAnsi="Aptos Display" w:cs="Times New Roman"/>
        </w:rPr>
      </w:pPr>
      <w:r>
        <w:rPr>
          <w:rFonts w:cs="Times New Roman" w:ascii="Aptos Display" w:hAnsi="Aptos Display"/>
        </w:rPr>
      </w:r>
    </w:p>
    <w:p>
      <w:pPr>
        <w:pStyle w:val="Normal"/>
        <w:ind w:hanging="0" w:start="1440"/>
        <w:jc w:val="start"/>
        <w:rPr/>
      </w:pPr>
      <w:r>
        <w:rPr>
          <w:rFonts w:cs="Arial" w:ascii="Aptos Display" w:hAnsi="Aptos Display"/>
          <w:b/>
          <w:bCs/>
          <w:sz w:val="27"/>
          <w:szCs w:val="27"/>
        </w:rPr>
        <w:t>NEW SOUTH WALES ROGAINING ASSOCIATION</w:t>
      </w:r>
    </w:p>
    <w:p>
      <w:pPr>
        <w:pStyle w:val="Normal"/>
        <w:spacing w:lineRule="exact" w:line="11"/>
        <w:rPr>
          <w:rFonts w:ascii="Aptos Display" w:hAnsi="Aptos Display" w:cs="Times New Roman"/>
        </w:rPr>
      </w:pPr>
      <w:r>
        <w:rPr>
          <w:rFonts w:cs="Times New Roman" w:ascii="Aptos Display" w:hAnsi="Aptos Display"/>
        </w:rPr>
      </w:r>
    </w:p>
    <w:p>
      <w:pPr>
        <w:pStyle w:val="Normal"/>
        <w:ind w:end="260"/>
        <w:jc w:val="center"/>
        <w:rPr>
          <w:rFonts w:ascii="Aptos Display" w:hAnsi="Aptos Display"/>
        </w:rPr>
      </w:pPr>
      <w:r>
        <w:rPr>
          <w:rFonts w:ascii="Aptos Display" w:hAnsi="Aptos Display"/>
        </w:rPr>
      </w:r>
    </w:p>
    <w:p>
      <w:pPr>
        <w:pStyle w:val="Normal"/>
        <w:ind w:end="260"/>
        <w:jc w:val="center"/>
        <w:rPr>
          <w:rFonts w:ascii="Calibri" w:hAnsi="Calibri"/>
          <w:b w:val="false"/>
          <w:bCs w:val="false"/>
        </w:rPr>
      </w:pPr>
      <w:r>
        <w:rPr>
          <w:rFonts w:cs="Arial" w:ascii="Calibri" w:hAnsi="Calibri"/>
          <w:b w:val="false"/>
          <w:bCs w:val="false"/>
          <w:sz w:val="27"/>
          <w:szCs w:val="27"/>
        </w:rPr>
        <w:t>Held on Sunday 22 February 2026</w:t>
      </w:r>
    </w:p>
    <w:p>
      <w:pPr>
        <w:pStyle w:val="Header"/>
        <w:jc w:val="center"/>
        <w:rPr>
          <w:rFonts w:ascii="Calibri" w:hAnsi="Calibri" w:cs="Arial"/>
          <w:b w:val="false"/>
          <w:bCs w:val="false"/>
          <w:sz w:val="27"/>
          <w:szCs w:val="27"/>
        </w:rPr>
      </w:pPr>
      <w:r>
        <w:rPr>
          <w:rFonts w:cs="Arial" w:ascii="Calibri" w:hAnsi="Calibri"/>
          <w:b w:val="false"/>
          <w:bCs w:val="false"/>
          <w:sz w:val="27"/>
          <w:szCs w:val="27"/>
        </w:rPr>
        <w:t>at Swansea High School, 78 Park Avenue, Caves Beach NSW 2281</w:t>
      </w:r>
    </w:p>
    <w:p>
      <w:pPr>
        <w:pStyle w:val="Header"/>
        <w:jc w:val="center"/>
        <w:rPr>
          <w:rFonts w:ascii="Calibri" w:hAnsi="Calibri" w:cs="Calibri"/>
        </w:rPr>
      </w:pPr>
      <w:r>
        <w:rPr>
          <w:rFonts w:cs="Calibri" w:ascii="Calibri" w:hAnsi="Calibri"/>
        </w:rPr>
      </w:r>
    </w:p>
    <w:tbl>
      <w:tblPr>
        <w:tblW w:w="9972" w:type="dxa"/>
        <w:jc w:val="start"/>
        <w:tblInd w:w="162" w:type="dxa"/>
        <w:tblLayout w:type="fixed"/>
        <w:tblCellMar>
          <w:top w:w="0" w:type="dxa"/>
          <w:start w:w="108" w:type="dxa"/>
          <w:bottom w:w="0" w:type="dxa"/>
          <w:end w:w="108" w:type="dxa"/>
        </w:tblCellMar>
        <w:tblLook w:firstRow="0" w:noVBand="0" w:lastRow="0" w:firstColumn="0" w:lastColumn="0" w:noHBand="0" w:val="0000"/>
      </w:tblPr>
      <w:tblGrid>
        <w:gridCol w:w="9972"/>
      </w:tblGrid>
      <w:tr>
        <w:trPr/>
        <w:tc>
          <w:tcPr>
            <w:tcW w:w="9972" w:type="dxa"/>
            <w:tcBorders>
              <w:bottom w:val="single" w:sz="4" w:space="0" w:color="000000"/>
            </w:tcBorders>
            <w:shd w:color="auto" w:fill="FFFFFF" w:val="clear"/>
          </w:tcPr>
          <w:p>
            <w:pPr>
              <w:pStyle w:val="Normal"/>
              <w:ind w:end="-240"/>
              <w:rPr/>
            </w:pPr>
            <w:r>
              <w:rPr>
                <w:rFonts w:cs="Calibri" w:ascii="Calibri" w:hAnsi="Calibri"/>
                <w:b/>
                <w:bCs/>
              </w:rPr>
              <w:t>Attendees:</w:t>
            </w:r>
            <w:r>
              <w:rPr>
                <w:rFonts w:cs="Calibri" w:ascii="Calibri" w:hAnsi="Calibri"/>
              </w:rPr>
              <w:t xml:space="preserve">  Graham Field, Robin Cameron, Mike </w:t>
            </w:r>
            <w:bookmarkStart w:id="0" w:name="Bookmark"/>
            <w:bookmarkEnd w:id="0"/>
            <w:r>
              <w:rPr>
                <w:rFonts w:cs="Calibri" w:ascii="Calibri" w:hAnsi="Calibri"/>
              </w:rPr>
              <w:t>Hotchkis,</w:t>
            </w:r>
            <w:r>
              <w:rPr>
                <w:rFonts w:cs="Calibri" w:ascii="Calibri" w:hAnsi="Calibri"/>
                <w:color w:val="FF0000"/>
              </w:rPr>
              <w:t xml:space="preserve"> </w:t>
            </w:r>
            <w:r>
              <w:rPr>
                <w:rFonts w:cs="Calibri" w:ascii="Calibri" w:hAnsi="Calibri"/>
              </w:rPr>
              <w:t xml:space="preserve">Arthur Day, Charles Kuan, Pam Montgomery, Bob Montgomery, Charles Kuan, Matt Berrington, Siobhan Tobin, Zoe Melling, Sharon Lambert, Peter Hopper, Julian Ledger, Ted Woodley, Martin Dearnley, John Anderson, John Havranek, Tim Porritt, </w:t>
            </w:r>
            <w:r>
              <w:rPr>
                <w:rFonts w:eastAsia="Liberation Serif" w:cs="Calibri" w:ascii="Calibri" w:hAnsi="Calibri"/>
              </w:rPr>
              <w:t>Salom</w:t>
            </w:r>
            <w:r>
              <w:rPr>
                <w:rFonts w:cs="Calibri" w:ascii="Calibri" w:hAnsi="Calibri"/>
              </w:rPr>
              <w:t xml:space="preserve">é </w:t>
            </w:r>
            <w:r>
              <w:rPr>
                <w:rFonts w:eastAsia="Liberation Serif" w:cs="Calibri" w:ascii="Calibri" w:hAnsi="Calibri"/>
              </w:rPr>
              <w:t>Hussein</w:t>
            </w:r>
            <w:r>
              <w:rPr>
                <w:rFonts w:cs="Calibri" w:ascii="Calibri" w:hAnsi="Calibri"/>
              </w:rPr>
              <w:t>, Stuart Warren, Chris Stevenson and John Clancy.</w:t>
            </w:r>
          </w:p>
          <w:p>
            <w:pPr>
              <w:pStyle w:val="Normal"/>
              <w:ind w:end="-240"/>
              <w:rPr/>
            </w:pPr>
            <w:r>
              <w:rPr/>
            </w:r>
          </w:p>
          <w:p>
            <w:pPr>
              <w:pStyle w:val="BodyText"/>
              <w:rPr>
                <w:rFonts w:ascii="Calibri" w:hAnsi="Calibri" w:cs="Calibri"/>
              </w:rPr>
            </w:pPr>
            <w:r>
              <w:rPr>
                <w:rFonts w:cs="Calibri" w:ascii="Calibri" w:hAnsi="Calibri"/>
                <w:b/>
                <w:bCs/>
              </w:rPr>
              <w:t>Apologies</w:t>
            </w:r>
            <w:r>
              <w:rPr>
                <w:rFonts w:cs="Calibri" w:ascii="Calibri" w:hAnsi="Calibri"/>
              </w:rPr>
              <w:t>: Robin Cameron, Katherine Cameron, Michael Watts, Mark Von Huben</w:t>
            </w:r>
          </w:p>
          <w:p>
            <w:pPr>
              <w:pStyle w:val="BodyText"/>
              <w:spacing w:lineRule="auto" w:line="288" w:before="0" w:after="140"/>
              <w:rPr/>
            </w:pPr>
            <w:r>
              <w:rPr>
                <w:rFonts w:cs="Calibri" w:ascii="Calibri" w:hAnsi="Calibri"/>
              </w:rPr>
              <w:t>Meeting commenced at 2.20pm.  Meeting Closed at 2.50pm.</w:t>
            </w:r>
          </w:p>
        </w:tc>
      </w:tr>
      <w:tr>
        <w:trPr/>
        <w:tc>
          <w:tcPr>
            <w:tcW w:w="9972" w:type="dxa"/>
            <w:tcBorders>
              <w:top w:val="single" w:sz="4" w:space="0" w:color="000000"/>
              <w:bottom w:val="single" w:sz="4" w:space="0" w:color="000000"/>
            </w:tcBorders>
            <w:shd w:color="auto" w:fill="FFFFFF" w:val="clear"/>
            <w:vAlign w:val="bottom"/>
          </w:tcPr>
          <w:p>
            <w:pPr>
              <w:pStyle w:val="Normal"/>
              <w:numPr>
                <w:ilvl w:val="0"/>
                <w:numId w:val="4"/>
              </w:numPr>
              <w:spacing w:before="120" w:after="240"/>
              <w:ind w:hanging="720" w:start="0" w:end="45"/>
              <w:rPr/>
            </w:pPr>
            <w:r>
              <w:rPr>
                <w:rFonts w:cs="Calibri" w:ascii="Calibri" w:hAnsi="Calibri"/>
                <w:b/>
                <w:bCs/>
              </w:rPr>
              <w:t>1. Adoption of the minutes of the 2025 Annual General Meeting – Sunday 23 February 2025.</w:t>
              <w:br/>
            </w:r>
            <w:r>
              <w:rPr>
                <w:rFonts w:cs="Calibri" w:ascii="Calibri" w:hAnsi="Calibri"/>
              </w:rPr>
              <w:t xml:space="preserve">Motion put forward by Pam Montgomery. Seconded by Bob Montgomery.    </w:t>
            </w:r>
            <w:r>
              <w:rPr>
                <w:rFonts w:cs="Calibri" w:ascii="Calibri" w:hAnsi="Calibri"/>
                <w:b/>
                <w:bCs/>
              </w:rPr>
              <w:t>Carried</w:t>
            </w:r>
          </w:p>
        </w:tc>
      </w:tr>
      <w:tr>
        <w:trPr/>
        <w:tc>
          <w:tcPr>
            <w:tcW w:w="9972" w:type="dxa"/>
            <w:tcBorders>
              <w:top w:val="single" w:sz="4" w:space="0" w:color="000000"/>
            </w:tcBorders>
            <w:shd w:color="auto" w:fill="FFFFFF" w:val="clear"/>
          </w:tcPr>
          <w:p>
            <w:pPr>
              <w:pStyle w:val="Normal"/>
              <w:numPr>
                <w:ilvl w:val="0"/>
                <w:numId w:val="4"/>
              </w:numPr>
              <w:spacing w:before="240" w:after="120"/>
              <w:ind w:hanging="720" w:start="0" w:end="45"/>
              <w:rPr/>
            </w:pPr>
            <w:r>
              <w:rPr>
                <w:rFonts w:cs="Calibri" w:ascii="Calibri" w:hAnsi="Calibri"/>
                <w:b/>
                <w:bCs/>
              </w:rPr>
              <w:t>2. President’s Report to AGM Feb-2026, Graham Field</w:t>
            </w:r>
          </w:p>
        </w:tc>
      </w:tr>
      <w:tr>
        <w:trPr/>
        <w:tc>
          <w:tcPr>
            <w:tcW w:w="9972" w:type="dxa"/>
            <w:tcBorders>
              <w:bottom w:val="single" w:sz="4" w:space="0" w:color="000000"/>
            </w:tcBorders>
            <w:shd w:color="auto" w:fill="FFFFFF" w:val="clear"/>
          </w:tcPr>
          <w:p>
            <w:pPr>
              <w:pStyle w:val="Normal"/>
              <w:rPr>
                <w:rFonts w:ascii="Calibri" w:hAnsi="Calibri" w:eastAsia="Arial" w:cs="Calibri"/>
                <w:color w:val="000000"/>
              </w:rPr>
            </w:pPr>
            <w:r>
              <w:rPr>
                <w:rFonts w:eastAsia="Arial" w:cs="Calibri" w:ascii="Calibri" w:hAnsi="Calibri"/>
                <w:b/>
                <w:bCs/>
                <w:color w:val="000000"/>
              </w:rPr>
              <w:t>2025 Review</w:t>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t xml:space="preserve"> </w:t>
            </w:r>
            <w:r>
              <w:rPr>
                <w:rFonts w:eastAsia="Arial" w:cs="Calibri" w:ascii="Calibri" w:hAnsi="Calibri"/>
                <w:color w:val="000000"/>
              </w:rPr>
              <w:t>I’d like to thank members and the Committee for their support during my third year as President.</w:t>
            </w:r>
          </w:p>
          <w:p>
            <w:pPr>
              <w:pStyle w:val="Normal"/>
              <w:rPr>
                <w:rFonts w:ascii="Calibri" w:hAnsi="Calibri" w:eastAsia="Arial" w:cs="Calibri"/>
                <w:color w:val="000000"/>
              </w:rPr>
            </w:pPr>
            <w:r>
              <w:rPr>
                <w:rFonts w:eastAsia="Arial" w:cs="Calibri" w:ascii="Calibri" w:hAnsi="Calibri"/>
                <w:color w:val="000000"/>
              </w:rPr>
              <w:t>2025 has seen membership and event participation at a continuing high trend. We had 8 events (the same as 2024) and total event entries for the year was 2644 (up 164 on 2024). NSWRA Membership in 2025 was 1758 (an increase of 49 over the previous year).</w:t>
            </w:r>
          </w:p>
          <w:p>
            <w:pPr>
              <w:pStyle w:val="Normal"/>
              <w:rPr>
                <w:rFonts w:ascii="Calibri" w:hAnsi="Calibri" w:eastAsia="Arial" w:cs="Calibri"/>
                <w:color w:val="000000"/>
              </w:rPr>
            </w:pPr>
            <w:r>
              <w:rPr>
                <w:rFonts w:eastAsia="Arial" w:cs="Calibri" w:ascii="Calibri" w:hAnsi="Calibri"/>
                <w:color w:val="000000"/>
              </w:rPr>
              <w:drawing>
                <wp:anchor distT="0" distB="0" distL="0" distR="0" simplePos="0" relativeHeight="3" behindDoc="0" locked="0" layoutInCell="0" allowOverlap="1">
                  <wp:simplePos x="0" y="0"/>
                  <wp:positionH relativeFrom="margin">
                    <wp:posOffset>365125</wp:posOffset>
                  </wp:positionH>
                  <wp:positionV relativeFrom="paragraph">
                    <wp:posOffset>86995</wp:posOffset>
                  </wp:positionV>
                  <wp:extent cx="5520690" cy="2228215"/>
                  <wp:effectExtent l="0" t="0" r="0" b="0"/>
                  <wp:wrapSquare wrapText="largest"/>
                  <wp:docPr id="2"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pic:cNvPicPr>
                            <a:picLocks noChangeAspect="1" noChangeArrowheads="1"/>
                          </pic:cNvPicPr>
                        </pic:nvPicPr>
                        <pic:blipFill>
                          <a:blip r:embed="rId3"/>
                          <a:stretch>
                            <a:fillRect/>
                          </a:stretch>
                        </pic:blipFill>
                        <pic:spPr bwMode="auto">
                          <a:xfrm>
                            <a:off x="0" y="0"/>
                            <a:ext cx="5520690" cy="2228215"/>
                          </a:xfrm>
                          <a:prstGeom prst="rect">
                            <a:avLst/>
                          </a:prstGeom>
                          <a:noFill/>
                        </pic:spPr>
                      </pic:pic>
                    </a:graphicData>
                  </a:graphic>
                </wp:anchor>
              </w:drawing>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drawing>
                <wp:anchor distT="0" distB="0" distL="0" distR="0" simplePos="0" relativeHeight="4" behindDoc="0" locked="0" layoutInCell="0" allowOverlap="1">
                  <wp:simplePos x="0" y="0"/>
                  <wp:positionH relativeFrom="margin">
                    <wp:posOffset>222885</wp:posOffset>
                  </wp:positionH>
                  <wp:positionV relativeFrom="paragraph">
                    <wp:posOffset>124460</wp:posOffset>
                  </wp:positionV>
                  <wp:extent cx="5691505" cy="2331720"/>
                  <wp:effectExtent l="0" t="0" r="0" b="0"/>
                  <wp:wrapSquare wrapText="largest"/>
                  <wp:docPr id="3"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pic:cNvPicPr>
                            <a:picLocks noChangeAspect="1" noChangeArrowheads="1"/>
                          </pic:cNvPicPr>
                        </pic:nvPicPr>
                        <pic:blipFill>
                          <a:blip r:embed="rId4"/>
                          <a:stretch>
                            <a:fillRect/>
                          </a:stretch>
                        </pic:blipFill>
                        <pic:spPr bwMode="auto">
                          <a:xfrm>
                            <a:off x="0" y="0"/>
                            <a:ext cx="5691505" cy="2331720"/>
                          </a:xfrm>
                          <a:prstGeom prst="rect">
                            <a:avLst/>
                          </a:prstGeom>
                          <a:noFill/>
                        </pic:spPr>
                      </pic:pic>
                    </a:graphicData>
                  </a:graphic>
                </wp:anchor>
              </w:drawing>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eastAsia="Arial" w:cs="Calibri" w:ascii="Calibri" w:hAnsi="Calibri"/>
                <w:color w:val="000000"/>
              </w:rPr>
              <w:t>There was the usual even mix of bush and urban events and the Socialgaine at Engadine had a record attendance. The Paddy Pallin also had a strong, above average attendance. Demographically our average age is 41 years, and we split at approximately 43% female and 57% male.</w:t>
            </w:r>
          </w:p>
          <w:p>
            <w:pPr>
              <w:pStyle w:val="Normal"/>
              <w:rPr>
                <w:rFonts w:ascii="Calibri" w:hAnsi="Calibri" w:cs="Calibri"/>
              </w:rPr>
            </w:pPr>
            <w:r>
              <w:rPr>
                <w:rFonts w:cs="Calibri" w:ascii="Calibri" w:hAnsi="Calibri"/>
              </w:rPr>
            </w:r>
          </w:p>
          <w:p>
            <w:pPr>
              <w:pStyle w:val="Normal"/>
              <w:rPr>
                <w:rFonts w:ascii="Calibri" w:hAnsi="Calibri" w:eastAsia="Arial" w:cs="Calibri"/>
                <w:color w:val="000000"/>
              </w:rPr>
            </w:pPr>
            <w:r>
              <w:rPr>
                <w:rFonts w:eastAsia="Arial" w:cs="Calibri" w:ascii="Calibri" w:hAnsi="Calibri"/>
                <w:b/>
                <w:bCs/>
                <w:color w:val="000000"/>
              </w:rPr>
              <w:t>Looking back</w:t>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cs="Calibri"/>
              </w:rPr>
            </w:pPr>
            <w:r>
              <w:rPr>
                <w:rFonts w:eastAsia="Arial" w:cs="Calibri" w:ascii="Calibri" w:hAnsi="Calibri"/>
                <w:color w:val="000000"/>
              </w:rPr>
              <w:t>We had an ambitious calendar last year with a few events planned to stimulate interstate competition – the State of Origin challenge with Queensland at Coffs Harbour (the furthest event form Sydney in many years) was subject to torrential rain for the whole event and an unprecedented (for a couple of years) attack of leeches to add to the challenge. The climate, the environment and terrain added to the interstate challenge, for which NSW was victorious.</w:t>
            </w:r>
          </w:p>
          <w:p>
            <w:pPr>
              <w:pStyle w:val="Normal"/>
              <w:rPr>
                <w:rFonts w:ascii="Calibri" w:hAnsi="Calibri" w:cs="Calibri"/>
              </w:rPr>
            </w:pPr>
            <w:r>
              <w:rPr>
                <w:rFonts w:cs="Calibri" w:ascii="Calibri" w:hAnsi="Calibri"/>
              </w:rPr>
            </w:r>
          </w:p>
          <w:p>
            <w:pPr>
              <w:pStyle w:val="Normal"/>
              <w:rPr>
                <w:rFonts w:ascii="Calibri" w:hAnsi="Calibri" w:cs="Calibri"/>
              </w:rPr>
            </w:pPr>
            <w:r>
              <w:rPr>
                <w:rFonts w:eastAsia="Arial" w:cs="Calibri" w:ascii="Calibri" w:hAnsi="Calibri"/>
                <w:color w:val="000000"/>
              </w:rPr>
              <w:t>In contrast, the NSW Champs at Mt Werong was held in comparatively open country and perfect weather conditions. It attracted similar numbers for a comparatively distant bush event that was twice as long.</w:t>
            </w:r>
          </w:p>
          <w:p>
            <w:pPr>
              <w:pStyle w:val="Normal"/>
              <w:rPr>
                <w:rFonts w:ascii="Calibri" w:hAnsi="Calibri" w:cs="Calibri"/>
              </w:rPr>
            </w:pPr>
            <w:r>
              <w:rPr>
                <w:rFonts w:cs="Calibri" w:ascii="Calibri" w:hAnsi="Calibri"/>
              </w:rPr>
            </w:r>
          </w:p>
          <w:p>
            <w:pPr>
              <w:pStyle w:val="Normal"/>
              <w:rPr>
                <w:rFonts w:ascii="Arial" w:hAnsi="Arial" w:eastAsia="Arial" w:cs="Arial"/>
                <w:color w:val="000000"/>
                <w:sz w:val="22"/>
                <w:szCs w:val="22"/>
              </w:rPr>
            </w:pPr>
            <w:r>
              <w:rPr>
                <w:rFonts w:eastAsia="Arial" w:cs="Calibri" w:ascii="Calibri" w:hAnsi="Calibri"/>
                <w:color w:val="000000"/>
              </w:rPr>
              <w:t>The cancellation of the Spring Challenge between NSW and ACT was disappointing. Making the decision to cancel the event due to a requirement for only on-track navigation was tough but correct to maintain a standard of contest for bush events. NSW will host the challenge in 2026.</w:t>
            </w:r>
          </w:p>
          <w:p>
            <w:pPr>
              <w:pStyle w:val="Normal"/>
              <w:rPr/>
            </w:pPr>
            <w:r>
              <w:rPr/>
            </w:r>
          </w:p>
          <w:p>
            <w:pPr>
              <w:pStyle w:val="Normal"/>
              <w:rPr>
                <w:rFonts w:ascii="Calibri" w:hAnsi="Calibri" w:cs="Calibri"/>
              </w:rPr>
            </w:pPr>
            <w:r>
              <w:rPr>
                <w:rFonts w:eastAsia="Arial" w:cs="Calibri" w:ascii="Calibri" w:hAnsi="Calibri"/>
                <w:color w:val="000000"/>
              </w:rPr>
              <w:t>Maintaining the balance between popular events close to Sydney and real bush events in increasingly regulated open bushland that attract fewer, but more seasoned and adventurous competitors is our ongoing goal and challenge.</w:t>
            </w:r>
          </w:p>
          <w:p>
            <w:pPr>
              <w:pStyle w:val="Normal"/>
              <w:rPr>
                <w:rFonts w:ascii="Calibri" w:hAnsi="Calibri" w:cs="Calibri"/>
              </w:rPr>
            </w:pPr>
            <w:r>
              <w:rPr>
                <w:rFonts w:cs="Calibri" w:ascii="Calibri" w:hAnsi="Calibri"/>
              </w:rPr>
            </w:r>
          </w:p>
          <w:p>
            <w:pPr>
              <w:pStyle w:val="Normal"/>
              <w:rPr>
                <w:rFonts w:ascii="Calibri" w:hAnsi="Calibri" w:cs="Calibri"/>
              </w:rPr>
            </w:pPr>
            <w:r>
              <w:rPr>
                <w:rFonts w:eastAsia="Arial" w:cs="Calibri" w:ascii="Calibri" w:hAnsi="Calibri"/>
                <w:color w:val="000000"/>
              </w:rPr>
              <w:t>The experience in December 2025 of giving evidence to the select NSW Parliamentary Committee into access restrictions to public lands – initiated by Julian Ledger’s submission on behalf of the NSWRA - highlighted the challenges that we will face in the future as the bushland that we rely on for rogaining in its purest form are further regulated and restricted.</w:t>
            </w:r>
          </w:p>
          <w:p>
            <w:pPr>
              <w:pStyle w:val="Normal"/>
              <w:rPr>
                <w:rFonts w:ascii="Calibri" w:hAnsi="Calibri" w:cs="Calibri"/>
              </w:rPr>
            </w:pPr>
            <w:r>
              <w:rPr>
                <w:rFonts w:cs="Calibri" w:ascii="Calibri" w:hAnsi="Calibri"/>
              </w:rPr>
            </w:r>
          </w:p>
          <w:p>
            <w:pPr>
              <w:pStyle w:val="Normal"/>
              <w:rPr>
                <w:rFonts w:ascii="Calibri" w:hAnsi="Calibri" w:eastAsia="Arial" w:cs="Calibri"/>
                <w:color w:val="000000"/>
              </w:rPr>
            </w:pPr>
            <w:r>
              <w:rPr>
                <w:rFonts w:eastAsia="Arial" w:cs="Calibri" w:ascii="Calibri" w:hAnsi="Calibri"/>
                <w:color w:val="000000"/>
              </w:rPr>
              <w:t>Under the covers, the NSWRA Committee, aided by the hard-working sub-committees managing events and marketing has continued to work toward, and be guided by the goals of the strategic plan. Specifically:</w:t>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eastAsia="Arial" w:cs="Calibri"/>
                <w:color w:val="000000"/>
              </w:rPr>
            </w:pPr>
            <w:r>
              <w:rPr>
                <w:rFonts w:eastAsia="Arial" w:cs="Calibri" w:ascii="Calibri" w:hAnsi="Calibri"/>
                <w:color w:val="000000"/>
              </w:rPr>
            </w:r>
          </w:p>
          <w:p>
            <w:pPr>
              <w:pStyle w:val="Normal"/>
              <w:numPr>
                <w:ilvl w:val="0"/>
                <w:numId w:val="6"/>
              </w:numPr>
              <w:tabs>
                <w:tab w:val="clear" w:pos="720"/>
                <w:tab w:val="left" w:pos="0" w:leader="none"/>
              </w:tabs>
              <w:spacing w:before="0" w:after="50"/>
              <w:rPr>
                <w:rFonts w:ascii="Calibri" w:hAnsi="Calibri" w:eastAsia="Arial" w:cs="Calibri"/>
                <w:color w:val="000000"/>
              </w:rPr>
            </w:pPr>
            <w:r>
              <w:rPr>
                <w:rFonts w:eastAsia="Arial" w:cs="Calibri" w:ascii="Calibri" w:hAnsi="Calibri"/>
                <w:color w:val="000000"/>
              </w:rPr>
              <w:t xml:space="preserve">  </w:t>
            </w:r>
            <w:r>
              <w:rPr>
                <w:rFonts w:eastAsia="Arial" w:cs="Calibri" w:ascii="Calibri" w:hAnsi="Calibri"/>
                <w:color w:val="000000"/>
              </w:rPr>
              <w:t>Scheduling and building well managed, safe events with an increasing degree of predictability and repeatable process.</w:t>
            </w:r>
          </w:p>
          <w:p>
            <w:pPr>
              <w:pStyle w:val="Normal"/>
              <w:numPr>
                <w:ilvl w:val="0"/>
                <w:numId w:val="6"/>
              </w:numPr>
              <w:tabs>
                <w:tab w:val="clear" w:pos="720"/>
                <w:tab w:val="left" w:pos="0" w:leader="none"/>
              </w:tabs>
              <w:spacing w:before="0" w:after="50"/>
              <w:rPr>
                <w:rFonts w:ascii="Calibri" w:hAnsi="Calibri" w:eastAsia="Arial" w:cs="Calibri"/>
                <w:color w:val="000000"/>
              </w:rPr>
            </w:pPr>
            <w:r>
              <w:rPr>
                <w:rFonts w:eastAsia="Arial" w:cs="Calibri" w:ascii="Calibri" w:hAnsi="Calibri"/>
                <w:color w:val="000000"/>
              </w:rPr>
              <w:t xml:space="preserve">  </w:t>
            </w:r>
            <w:r>
              <w:rPr>
                <w:rFonts w:eastAsia="Arial" w:cs="Calibri" w:ascii="Calibri" w:hAnsi="Calibri"/>
                <w:color w:val="000000"/>
              </w:rPr>
              <w:t>Ensuring communication to all members and potential members is regular, informative and interesting</w:t>
            </w:r>
          </w:p>
          <w:p>
            <w:pPr>
              <w:pStyle w:val="Normal"/>
              <w:numPr>
                <w:ilvl w:val="0"/>
                <w:numId w:val="6"/>
              </w:numPr>
              <w:tabs>
                <w:tab w:val="clear" w:pos="720"/>
                <w:tab w:val="left" w:pos="0" w:leader="none"/>
              </w:tabs>
              <w:rPr>
                <w:rFonts w:ascii="Calibri" w:hAnsi="Calibri" w:cs="Calibri"/>
              </w:rPr>
            </w:pPr>
            <w:r>
              <w:rPr>
                <w:rFonts w:eastAsia="Arial" w:cs="Calibri" w:ascii="Calibri" w:hAnsi="Calibri"/>
                <w:color w:val="000000"/>
              </w:rPr>
              <w:t xml:space="preserve">  </w:t>
            </w:r>
            <w:r>
              <w:rPr>
                <w:rFonts w:eastAsia="Arial" w:cs="Calibri" w:ascii="Calibri" w:hAnsi="Calibri"/>
                <w:color w:val="000000"/>
              </w:rPr>
              <w:t>Getting more people to bring their experience, work and life skills to the association by being more than competitors.</w:t>
            </w:r>
          </w:p>
          <w:p>
            <w:pPr>
              <w:pStyle w:val="Normal"/>
              <w:numPr>
                <w:ilvl w:val="0"/>
                <w:numId w:val="7"/>
              </w:numPr>
              <w:tabs>
                <w:tab w:val="clear" w:pos="720"/>
                <w:tab w:val="left" w:pos="0" w:leader="none"/>
              </w:tabs>
              <w:rPr>
                <w:rFonts w:ascii="Calibri" w:hAnsi="Calibri" w:cs="Calibri"/>
              </w:rPr>
            </w:pPr>
            <w:r>
              <w:rPr>
                <w:rFonts w:cs="Calibri" w:ascii="Calibri" w:hAnsi="Calibri"/>
              </w:rPr>
            </w:r>
          </w:p>
          <w:p>
            <w:pPr>
              <w:pStyle w:val="Normal"/>
              <w:rPr>
                <w:rFonts w:ascii="Calibri" w:hAnsi="Calibri" w:cs="Calibri"/>
              </w:rPr>
            </w:pPr>
            <w:r>
              <w:rPr>
                <w:rFonts w:eastAsia="Arial" w:cs="Calibri" w:ascii="Calibri" w:hAnsi="Calibri"/>
                <w:b/>
                <w:bCs/>
                <w:color w:val="000000"/>
              </w:rPr>
              <w:t>Looking forward</w:t>
            </w:r>
          </w:p>
          <w:p>
            <w:pPr>
              <w:pStyle w:val="Normal"/>
              <w:rPr>
                <w:rFonts w:ascii="Calibri" w:hAnsi="Calibri" w:cs="Calibri"/>
              </w:rPr>
            </w:pPr>
            <w:r>
              <w:rPr>
                <w:rFonts w:cs="Calibri" w:ascii="Calibri" w:hAnsi="Calibri"/>
              </w:rPr>
            </w:r>
          </w:p>
          <w:p>
            <w:pPr>
              <w:pStyle w:val="Normal"/>
              <w:rPr/>
            </w:pPr>
            <w:r>
              <w:rPr>
                <w:rFonts w:eastAsia="Arial" w:cs="Calibri" w:ascii="Calibri" w:hAnsi="Calibri"/>
                <w:color w:val="000000"/>
              </w:rPr>
              <w:t>We’re looking good for having a full set of events locked in for 2026 and I thank the course setters and coordinators for stepping up to get these in place. There will be seven events this year – one less than last year as we’re combining the Lake Macquarie and the NSW Championships to celebrate the 250th rogaine run by NSW Rogaining. This will be appropriately set by the legendary Bert van Netten in his native habitat, the Watagans.</w:t>
            </w:r>
          </w:p>
          <w:p>
            <w:pPr>
              <w:pStyle w:val="Normal"/>
              <w:rPr/>
            </w:pPr>
            <w:r>
              <w:rPr/>
            </w:r>
          </w:p>
          <w:p>
            <w:pPr>
              <w:pStyle w:val="Normal"/>
              <w:rPr>
                <w:rFonts w:ascii="Calibri" w:hAnsi="Calibri" w:cs="Calibri"/>
              </w:rPr>
            </w:pPr>
            <w:r>
              <w:rPr>
                <w:rFonts w:eastAsia="Arial" w:cs="Calibri" w:ascii="Calibri" w:hAnsi="Calibri"/>
                <w:color w:val="000000"/>
              </w:rPr>
              <w:t>We’re also planning a couple of very special events that will add some spice to the offerings this year:</w:t>
            </w:r>
          </w:p>
          <w:p>
            <w:pPr>
              <w:pStyle w:val="Normal"/>
              <w:rPr>
                <w:rFonts w:ascii="Calibri" w:hAnsi="Calibri" w:cs="Calibri"/>
              </w:rPr>
            </w:pPr>
            <w:r>
              <w:rPr>
                <w:rFonts w:cs="Calibri" w:ascii="Calibri" w:hAnsi="Calibri"/>
              </w:rPr>
            </w:r>
          </w:p>
          <w:p>
            <w:pPr>
              <w:pStyle w:val="Normal"/>
              <w:numPr>
                <w:ilvl w:val="0"/>
                <w:numId w:val="8"/>
              </w:numPr>
              <w:tabs>
                <w:tab w:val="clear" w:pos="720"/>
                <w:tab w:val="left" w:pos="0" w:leader="none"/>
              </w:tabs>
              <w:spacing w:before="0" w:after="204"/>
              <w:ind w:start="360"/>
              <w:rPr>
                <w:rFonts w:ascii="Calibri" w:hAnsi="Calibri" w:eastAsia="Arial" w:cs="Calibri"/>
                <w:color w:val="000000"/>
              </w:rPr>
            </w:pPr>
            <w:r>
              <w:rPr>
                <w:rFonts w:eastAsia="Arial" w:cs="Calibri" w:ascii="Calibri" w:hAnsi="Calibri"/>
                <w:color w:val="000000"/>
              </w:rPr>
              <w:t>The Explorergaine (Metrogaine) at Mt Victoria - Coordinated by Julian Ledger and set by Steve, Sally and Bandit McKay. The event will celebrate the pioneers who crossed the mountains and will explore the first routes (known to Europeans) off the mountains, dating back to 1813. This will also be a fundraiser for the Australian Himalayan Foundation and will be honoured by the attendance of Greg Mortimer, from the first Australian team to climb Everest in 1984.</w:t>
            </w:r>
          </w:p>
          <w:p>
            <w:pPr>
              <w:pStyle w:val="Normal"/>
              <w:numPr>
                <w:ilvl w:val="0"/>
                <w:numId w:val="8"/>
              </w:numPr>
              <w:tabs>
                <w:tab w:val="clear" w:pos="720"/>
                <w:tab w:val="left" w:pos="0" w:leader="none"/>
              </w:tabs>
              <w:ind w:start="360"/>
              <w:rPr>
                <w:rFonts w:ascii="Calibri" w:hAnsi="Calibri" w:cs="Calibri"/>
              </w:rPr>
            </w:pPr>
            <w:r>
              <w:rPr>
                <w:rFonts w:eastAsia="Arial" w:cs="Calibri" w:ascii="Calibri" w:hAnsi="Calibri"/>
                <w:color w:val="000000"/>
              </w:rPr>
              <w:t>The Ferrygaine (Socialgaine). Ted Woodley returns with an innovative twist on the Lane Cove series – this time with ferries and arguably the most scenic harbour island hash house location in the world at Cockatoo Island. This is looking to be a very popular (not to mention innovative) event that will showcase our unique harbour and surrounds.</w:t>
            </w:r>
          </w:p>
          <w:p>
            <w:pPr>
              <w:pStyle w:val="Normal"/>
              <w:rPr>
                <w:rFonts w:ascii="Calibri" w:hAnsi="Calibri" w:cs="Calibri"/>
              </w:rPr>
            </w:pPr>
            <w:r>
              <w:rPr>
                <w:rFonts w:cs="Calibri" w:ascii="Calibri" w:hAnsi="Calibri"/>
              </w:rPr>
            </w:r>
          </w:p>
          <w:p>
            <w:pPr>
              <w:pStyle w:val="Normal"/>
              <w:rPr>
                <w:rFonts w:ascii="Calibri" w:hAnsi="Calibri" w:eastAsia="Arial" w:cs="Calibri"/>
                <w:color w:val="000000"/>
              </w:rPr>
            </w:pPr>
            <w:r>
              <w:rPr>
                <w:rFonts w:eastAsia="Arial" w:cs="Calibri" w:ascii="Calibri" w:hAnsi="Calibri"/>
                <w:color w:val="000000"/>
              </w:rPr>
              <w:t>Work is also well underway on the planning for the 2027 World Rogaining Championships in South Australia. Julian Ledger continues to work with the WRC Event Team coordinating the marketing efforts for the event. He’s being supported by Arthur Day who will be producing the 4 event bulletins and Bruce Sutton and Michael Watts who are looking after photography and video media. Julian adds that a lot of volunteers will be needed to run the event and we need to be thinking about how</w:t>
            </w:r>
          </w:p>
          <w:p>
            <w:pPr>
              <w:pStyle w:val="Normal"/>
              <w:rPr>
                <w:rFonts w:ascii="Calibri" w:hAnsi="Calibri" w:eastAsia="Arial" w:cs="Calibri"/>
                <w:color w:val="000000"/>
              </w:rPr>
            </w:pPr>
            <w:r>
              <w:rPr>
                <w:rFonts w:eastAsia="Arial" w:cs="Calibri" w:ascii="Calibri" w:hAnsi="Calibri"/>
                <w:color w:val="000000"/>
              </w:rPr>
              <w:t>and when NSW will participate, such as for a particular task like control collection. We’re hoping for a large contingent of NSW competitors and helpers for this event that comes too infrequently to our hemisphere.</w:t>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cs="Calibri"/>
              </w:rPr>
            </w:pPr>
            <w:r>
              <w:rPr>
                <w:rFonts w:eastAsia="Arial" w:cs="Calibri" w:ascii="Calibri" w:hAnsi="Calibri"/>
                <w:b/>
                <w:bCs/>
                <w:color w:val="000000"/>
              </w:rPr>
              <w:t>Thanks to our volunteers across the board</w:t>
            </w:r>
          </w:p>
          <w:p>
            <w:pPr>
              <w:pStyle w:val="Normal"/>
              <w:rPr>
                <w:rFonts w:ascii="Calibri" w:hAnsi="Calibri" w:cs="Calibri"/>
              </w:rPr>
            </w:pPr>
            <w:r>
              <w:rPr>
                <w:rFonts w:cs="Calibri" w:ascii="Calibri" w:hAnsi="Calibri"/>
              </w:rPr>
            </w:r>
          </w:p>
          <w:p>
            <w:pPr>
              <w:pStyle w:val="Normal"/>
              <w:rPr>
                <w:rFonts w:ascii="Calibri" w:hAnsi="Calibri" w:cs="Calibri"/>
              </w:rPr>
            </w:pPr>
            <w:r>
              <w:rPr>
                <w:rFonts w:eastAsia="Arial" w:cs="Calibri" w:ascii="Calibri" w:hAnsi="Calibri"/>
                <w:color w:val="000000"/>
              </w:rPr>
              <w:t>Rogaining in NSW exists and goes forward through the time and effort that our volunteers give to the sport. In 2025 there were 140 volunteers across all of the events with a number of people volunteering for more than one event. This is 20 more than in 2024 and a reassuring statement that we have a healthy and engaged volunteer community.</w:t>
            </w:r>
          </w:p>
          <w:p>
            <w:pPr>
              <w:pStyle w:val="Normal"/>
              <w:rPr>
                <w:rFonts w:ascii="Calibri" w:hAnsi="Calibri" w:cs="Calibri"/>
              </w:rPr>
            </w:pPr>
            <w:r>
              <w:rPr>
                <w:rFonts w:cs="Calibri" w:ascii="Calibri" w:hAnsi="Calibri"/>
              </w:rPr>
            </w:r>
          </w:p>
          <w:p>
            <w:pPr>
              <w:pStyle w:val="Normal"/>
              <w:rPr>
                <w:rFonts w:ascii="Calibri" w:hAnsi="Calibri" w:cs="Calibri"/>
              </w:rPr>
            </w:pPr>
            <w:r>
              <w:rPr>
                <w:rFonts w:eastAsia="Arial" w:cs="Calibri" w:ascii="Calibri" w:hAnsi="Calibri"/>
                <w:color w:val="000000"/>
              </w:rPr>
              <w:t>I also make special mention of the people who work in the background to keep the wheels turning, but don’t always get thanked at events. In particular:</w:t>
            </w:r>
          </w:p>
          <w:p>
            <w:pPr>
              <w:pStyle w:val="Normal"/>
              <w:rPr>
                <w:rFonts w:ascii="Calibri" w:hAnsi="Calibri" w:cs="Calibri"/>
              </w:rPr>
            </w:pPr>
            <w:r>
              <w:rPr>
                <w:rFonts w:cs="Calibri" w:ascii="Calibri" w:hAnsi="Calibri"/>
              </w:rPr>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Robin Cameron </w:t>
            </w:r>
            <w:r>
              <w:rPr>
                <w:rFonts w:eastAsia="Arial" w:cs="Calibri" w:ascii="Calibri" w:hAnsi="Calibri"/>
                <w:color w:val="000000"/>
              </w:rPr>
              <w:t>– our Volunteer Coordinator, Vice President and 2025 Warwick Marsden Awardee who ensures that all events have the right people in place and provides essential support for the Committee.</w:t>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John Clancy </w:t>
            </w:r>
            <w:r>
              <w:rPr>
                <w:rFonts w:eastAsia="Arial" w:cs="Calibri" w:ascii="Calibri" w:hAnsi="Calibri"/>
                <w:color w:val="000000"/>
              </w:rPr>
              <w:t>– the NSWRA Secretary who keeps the Admin of the Committee in order and who’s advice on governance and Committee matters I value immensely.</w:t>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Mike Hotchkis </w:t>
            </w:r>
            <w:r>
              <w:rPr>
                <w:rFonts w:eastAsia="Arial" w:cs="Calibri" w:ascii="Calibri" w:hAnsi="Calibri"/>
                <w:color w:val="000000"/>
              </w:rPr>
              <w:t>– who administers the Associations finances and works with event organisers to set and manage a budget for each event.</w:t>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Mark von Huben </w:t>
            </w:r>
            <w:r>
              <w:rPr>
                <w:rFonts w:eastAsia="Arial" w:cs="Calibri" w:ascii="Calibri" w:hAnsi="Calibri"/>
                <w:color w:val="000000"/>
              </w:rPr>
              <w:t>– who looks after all the equipment making sure that its operational for every event.</w:t>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Arthur Day </w:t>
            </w:r>
            <w:r>
              <w:rPr>
                <w:rFonts w:eastAsia="Arial" w:cs="Calibri" w:ascii="Calibri" w:hAnsi="Calibri"/>
                <w:color w:val="000000"/>
              </w:rPr>
              <w:t>– our newsletter editor who’s continues to set a very high standard in effective communication.</w:t>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Matt Berrington </w:t>
            </w:r>
            <w:r>
              <w:rPr>
                <w:rFonts w:eastAsia="Arial" w:cs="Calibri" w:ascii="Calibri" w:hAnsi="Calibri"/>
                <w:color w:val="000000"/>
              </w:rPr>
              <w:t xml:space="preserve">and </w:t>
            </w:r>
            <w:r>
              <w:rPr>
                <w:rFonts w:eastAsia="Arial" w:cs="Calibri" w:ascii="Calibri" w:hAnsi="Calibri"/>
                <w:b/>
                <w:bCs/>
                <w:color w:val="000000"/>
              </w:rPr>
              <w:t>Siobhan Tobin</w:t>
            </w:r>
            <w:r>
              <w:rPr>
                <w:rFonts w:eastAsia="Arial" w:cs="Calibri" w:ascii="Calibri" w:hAnsi="Calibri"/>
                <w:color w:val="000000"/>
              </w:rPr>
              <w:t>, our Web Admins working hard to modernise our website and keep it ticking over.</w:t>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Julian Ledger </w:t>
            </w:r>
            <w:r>
              <w:rPr>
                <w:rFonts w:eastAsia="Arial" w:cs="Calibri" w:ascii="Calibri" w:hAnsi="Calibri"/>
                <w:color w:val="000000"/>
              </w:rPr>
              <w:t>– who lends his considerable experience to the Association, manages the Marketing Group and is keeper of the trailers.</w:t>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Martin Dearnley </w:t>
            </w:r>
            <w:r>
              <w:rPr>
                <w:rFonts w:eastAsia="Arial" w:cs="Calibri" w:ascii="Calibri" w:hAnsi="Calibri"/>
                <w:color w:val="000000"/>
              </w:rPr>
              <w:t>– who coordinates the Events Group and provides support as a mentor across the board.</w:t>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Gill Fowler </w:t>
            </w:r>
            <w:r>
              <w:rPr>
                <w:rFonts w:eastAsia="Arial" w:cs="Calibri" w:ascii="Calibri" w:hAnsi="Calibri"/>
                <w:color w:val="000000"/>
              </w:rPr>
              <w:t>– who looks after our interactions with NPWS, Forestry and other land holders that allow us access to the land for rogaining.</w:t>
            </w:r>
          </w:p>
          <w:p>
            <w:pPr>
              <w:pStyle w:val="Normal"/>
              <w:numPr>
                <w:ilvl w:val="0"/>
                <w:numId w:val="9"/>
              </w:numPr>
              <w:spacing w:before="0" w:after="50"/>
              <w:rPr>
                <w:rFonts w:ascii="Calibri" w:hAnsi="Calibri" w:eastAsia="Arial" w:cs="Calibri"/>
                <w:b/>
                <w:bCs/>
                <w:color w:val="000000"/>
              </w:rPr>
            </w:pPr>
            <w:r>
              <w:rPr>
                <w:rFonts w:eastAsia="Arial" w:cs="Calibri" w:ascii="Calibri" w:hAnsi="Calibri"/>
                <w:b/>
                <w:bCs/>
                <w:color w:val="000000"/>
              </w:rPr>
              <w:t xml:space="preserve">Chris Stevenson </w:t>
            </w:r>
            <w:r>
              <w:rPr>
                <w:rFonts w:eastAsia="Arial" w:cs="Calibri" w:ascii="Calibri" w:hAnsi="Calibri"/>
                <w:color w:val="000000"/>
              </w:rPr>
              <w:t>– our Membership secretary and past Web Administrator</w:t>
            </w:r>
          </w:p>
          <w:p>
            <w:pPr>
              <w:pStyle w:val="Normal"/>
              <w:numPr>
                <w:ilvl w:val="0"/>
                <w:numId w:val="9"/>
              </w:numPr>
              <w:rPr>
                <w:rFonts w:ascii="Calibri" w:hAnsi="Calibri" w:eastAsia="Arial" w:cs="Calibri"/>
                <w:color w:val="000000"/>
              </w:rPr>
            </w:pPr>
            <w:r>
              <w:rPr>
                <w:rFonts w:eastAsia="Arial" w:cs="Calibri" w:ascii="Calibri" w:hAnsi="Calibri"/>
                <w:b/>
                <w:bCs/>
                <w:color w:val="000000"/>
              </w:rPr>
              <w:t xml:space="preserve">North Sydney Scouts </w:t>
            </w:r>
            <w:r>
              <w:rPr>
                <w:rFonts w:eastAsia="Arial" w:cs="Calibri" w:ascii="Calibri" w:hAnsi="Calibri"/>
                <w:color w:val="000000"/>
              </w:rPr>
              <w:t xml:space="preserve">and in particular </w:t>
            </w:r>
            <w:r>
              <w:rPr>
                <w:rFonts w:eastAsia="Arial" w:cs="Calibri" w:ascii="Calibri" w:hAnsi="Calibri"/>
                <w:b/>
                <w:bCs/>
                <w:color w:val="000000"/>
              </w:rPr>
              <w:t xml:space="preserve">Stuart Warren </w:t>
            </w:r>
            <w:r>
              <w:rPr>
                <w:rFonts w:eastAsia="Arial" w:cs="Calibri" w:ascii="Calibri" w:hAnsi="Calibri"/>
                <w:color w:val="000000"/>
              </w:rPr>
              <w:t xml:space="preserve">&amp; </w:t>
            </w:r>
            <w:r>
              <w:rPr>
                <w:rFonts w:eastAsia="Liberation Serif" w:cs="Calibri" w:ascii="Calibri" w:hAnsi="Calibri"/>
                <w:b/>
                <w:bCs/>
                <w:color w:val="000000"/>
              </w:rPr>
              <w:t>Salom</w:t>
            </w:r>
            <w:r>
              <w:rPr>
                <w:rFonts w:eastAsia="Arial" w:cs="Calibri" w:ascii="Calibri" w:hAnsi="Calibri"/>
                <w:b/>
                <w:bCs/>
                <w:color w:val="000000"/>
              </w:rPr>
              <w:t>é Hussein</w:t>
            </w:r>
            <w:r>
              <w:rPr>
                <w:rFonts w:eastAsia="Arial" w:cs="Calibri" w:ascii="Calibri" w:hAnsi="Calibri"/>
                <w:color w:val="000000"/>
              </w:rPr>
              <w:t>.</w:t>
            </w:r>
          </w:p>
          <w:p>
            <w:pPr>
              <w:pStyle w:val="Normal"/>
              <w:rPr>
                <w:rFonts w:ascii="Calibri" w:hAnsi="Calibri" w:eastAsia="Arial" w:cs="Calibri"/>
                <w:color w:val="000000"/>
              </w:rPr>
            </w:pPr>
            <w:r>
              <w:rPr>
                <w:rFonts w:eastAsia="Arial" w:cs="Calibri" w:ascii="Calibri" w:hAnsi="Calibri"/>
                <w:color w:val="000000"/>
              </w:rPr>
            </w:r>
          </w:p>
          <w:p>
            <w:pPr>
              <w:pStyle w:val="Normal"/>
              <w:rPr>
                <w:rFonts w:ascii="Calibri" w:hAnsi="Calibri" w:cs="Calibri"/>
              </w:rPr>
            </w:pPr>
            <w:r>
              <w:rPr>
                <w:rFonts w:eastAsia="Arial" w:cs="Calibri" w:ascii="Calibri" w:hAnsi="Calibri"/>
                <w:color w:val="000000"/>
              </w:rPr>
              <w:t>I’d also like to acknowledge the service of our Event Admins Vivien de Remy de Courcelles and Anita Bickle and our dedicated Newcastle team including Bert van Netten, Anita Bickle, Carolyn Rigby and Pam and Bob Montgomery – they are always there to lend a hand.</w:t>
            </w:r>
          </w:p>
          <w:p>
            <w:pPr>
              <w:pStyle w:val="Normal"/>
              <w:rPr>
                <w:rFonts w:ascii="Calibri" w:hAnsi="Calibri" w:cs="Calibri"/>
              </w:rPr>
            </w:pPr>
            <w:r>
              <w:rPr>
                <w:rFonts w:cs="Calibri" w:ascii="Calibri" w:hAnsi="Calibri"/>
              </w:rPr>
            </w:r>
          </w:p>
          <w:p>
            <w:pPr>
              <w:pStyle w:val="Normal"/>
              <w:rPr>
                <w:rFonts w:ascii="Calibri" w:hAnsi="Calibri" w:eastAsia="Arial" w:cs="Calibri"/>
                <w:color w:val="000000"/>
              </w:rPr>
            </w:pPr>
            <w:r>
              <w:rPr>
                <w:rFonts w:eastAsia="Arial" w:cs="Calibri" w:ascii="Calibri" w:hAnsi="Calibri"/>
                <w:b/>
                <w:bCs/>
                <w:color w:val="000000"/>
              </w:rPr>
              <w:t>2026 Committee</w:t>
            </w:r>
          </w:p>
          <w:p>
            <w:pPr>
              <w:pStyle w:val="Normal"/>
              <w:rPr>
                <w:rFonts w:ascii="Calibri" w:hAnsi="Calibri" w:cs="Calibri"/>
              </w:rPr>
            </w:pPr>
            <w:r>
              <w:rPr>
                <w:rFonts w:eastAsia="Arial" w:cs="Calibri" w:ascii="Calibri" w:hAnsi="Calibri"/>
                <w:color w:val="000000"/>
              </w:rPr>
              <w:t>I expect that most 2025 Committee members will continue to be a part of the 2026 Committee. We also have 4 new members who have come forward to join the Committee this year, to be confirmed at the meeting.</w:t>
            </w:r>
          </w:p>
          <w:p>
            <w:pPr>
              <w:pStyle w:val="Normal"/>
              <w:rPr>
                <w:rFonts w:ascii="Calibri" w:hAnsi="Calibri" w:cs="Calibri"/>
              </w:rPr>
            </w:pPr>
            <w:r>
              <w:rPr>
                <w:rFonts w:cs="Calibri" w:ascii="Calibri" w:hAnsi="Calibri"/>
              </w:rPr>
            </w:r>
          </w:p>
          <w:p>
            <w:pPr>
              <w:pStyle w:val="Normal"/>
              <w:rPr>
                <w:rFonts w:ascii="Calibri" w:hAnsi="Calibri" w:eastAsia="Arial" w:cs="Calibri"/>
                <w:color w:val="000000"/>
              </w:rPr>
            </w:pPr>
            <w:r>
              <w:rPr>
                <w:rFonts w:eastAsia="Arial" w:cs="Calibri" w:ascii="Calibri" w:hAnsi="Calibri"/>
                <w:color w:val="000000"/>
              </w:rPr>
              <w:t>I’ve decided that 2026 will be my last year as President (If elected of course), so we, the Committee, need to find a suitable person to fill this role. Ideally it should be someone who knows the ethos and mood of the sport as well as understand the workings and nuances of the Committee.</w:t>
            </w:r>
          </w:p>
          <w:p>
            <w:pPr>
              <w:pStyle w:val="Normal"/>
              <w:rPr>
                <w:rFonts w:ascii="Calibri" w:hAnsi="Calibri" w:eastAsia="Arial" w:cs="Calibri"/>
                <w:color w:val="000000"/>
              </w:rPr>
            </w:pPr>
            <w:r>
              <w:rPr>
                <w:rFonts w:eastAsia="Arial" w:cs="Calibri" w:ascii="Calibri" w:hAnsi="Calibri"/>
                <w:color w:val="000000"/>
              </w:rPr>
              <w:t>Thanks.. Graham.</w:t>
            </w:r>
          </w:p>
          <w:p>
            <w:pPr>
              <w:pStyle w:val="Normal"/>
              <w:spacing w:before="120" w:after="0"/>
              <w:rPr>
                <w:rFonts w:ascii="Calibri" w:hAnsi="Calibri" w:eastAsia="Arial" w:cs="Calibri"/>
                <w:color w:val="000000"/>
              </w:rPr>
            </w:pPr>
            <w:r>
              <w:rPr>
                <w:rFonts w:eastAsia="Arial" w:cs="Calibri" w:ascii="Calibri" w:hAnsi="Calibri"/>
                <w:color w:val="000000"/>
              </w:rPr>
            </w:r>
          </w:p>
        </w:tc>
      </w:tr>
      <w:tr>
        <w:trPr/>
        <w:tc>
          <w:tcPr>
            <w:tcW w:w="9972" w:type="dxa"/>
            <w:tcBorders>
              <w:top w:val="single" w:sz="4" w:space="0" w:color="000000"/>
              <w:bottom w:val="single" w:sz="4" w:space="0" w:color="000000"/>
            </w:tcBorders>
            <w:shd w:color="auto" w:fill="FFFFFF" w:val="clear"/>
          </w:tcPr>
          <w:p>
            <w:pPr>
              <w:pStyle w:val="Normal"/>
              <w:numPr>
                <w:ilvl w:val="0"/>
                <w:numId w:val="4"/>
              </w:numPr>
              <w:spacing w:before="120" w:after="0"/>
              <w:ind w:hanging="437" w:start="426" w:end="45"/>
              <w:rPr>
                <w:rFonts w:ascii="Calibri" w:hAnsi="Calibri" w:cs="Calibri"/>
              </w:rPr>
            </w:pPr>
            <w:r>
              <w:rPr>
                <w:rFonts w:cs="Calibri" w:ascii="Calibri" w:hAnsi="Calibri"/>
                <w:b/>
                <w:bCs/>
              </w:rPr>
              <w:t>Treasurer’s report</w:t>
            </w:r>
          </w:p>
          <w:p>
            <w:pPr>
              <w:pStyle w:val="Normal"/>
              <w:spacing w:before="120" w:after="0"/>
              <w:ind w:end="45"/>
              <w:rPr>
                <w:rFonts w:ascii="Calibri" w:hAnsi="Calibri" w:cs="Calibri"/>
              </w:rPr>
            </w:pPr>
            <w:r>
              <w:rPr>
                <w:rFonts w:cs="Calibri" w:ascii="Calibri" w:hAnsi="Calibri"/>
              </w:rPr>
              <w:t>The 2025 financial statements were presented at the AGM by the Treasurer.</w:t>
            </w:r>
          </w:p>
          <w:p>
            <w:pPr>
              <w:pStyle w:val="Normal"/>
              <w:spacing w:before="120" w:after="0"/>
              <w:rPr>
                <w:rFonts w:ascii="Calibri" w:hAnsi="Calibri" w:cs="Calibri"/>
              </w:rPr>
            </w:pPr>
            <w:r>
              <w:rPr>
                <w:rFonts w:cs="Calibri" w:ascii="Calibri" w:hAnsi="Calibri"/>
              </w:rPr>
              <w:t>A small profit of $3,538 was incurred at year end and some expenses relating to the 2026 Minigaine at Swansea were brought forward.  It should be noted that NSWRA accounts are prepared on a cash basis.</w:t>
            </w:r>
          </w:p>
          <w:p>
            <w:pPr>
              <w:pStyle w:val="Normal"/>
              <w:spacing w:before="120" w:after="0"/>
              <w:rPr>
                <w:rFonts w:ascii="Calibri" w:hAnsi="Calibri" w:cs="Calibri"/>
              </w:rPr>
            </w:pPr>
            <w:r>
              <w:rPr>
                <w:rFonts w:cs="Calibri" w:ascii="Calibri" w:hAnsi="Calibri"/>
              </w:rPr>
              <w:t>With regard to our balance sheet, overall assets increased slightly to $69,625 following recognition of a small surplus recorded in our income statement.   As per our constitution (rules) no income was distributed to members.</w:t>
            </w:r>
          </w:p>
          <w:p>
            <w:pPr>
              <w:pStyle w:val="Normal"/>
              <w:spacing w:before="120" w:after="0"/>
              <w:rPr>
                <w:rFonts w:ascii="Calibri" w:hAnsi="Calibri" w:cs="Calibri"/>
              </w:rPr>
            </w:pPr>
            <w:r>
              <w:rPr>
                <w:rFonts w:cs="Calibri" w:ascii="Calibri" w:hAnsi="Calibri"/>
              </w:rPr>
              <w:t>In summary, eight events took place in 2025.  Eight events either broke even, or in the case of the metropolitan events continued to make a small surplus.   Two events, Autumngaine held at Coffs Harbour on 26 April, made a loss  $1,484 and  the NSW Championships held a Mt Werong on the week end 13 and 14 September 2025 made a loss of $3,282</w:t>
            </w:r>
          </w:p>
          <w:p>
            <w:pPr>
              <w:pStyle w:val="Normal"/>
              <w:spacing w:before="120" w:after="0"/>
              <w:rPr>
                <w:rFonts w:ascii="Calibri" w:hAnsi="Calibri" w:cs="Calibri"/>
              </w:rPr>
            </w:pPr>
            <w:r>
              <w:rPr>
                <w:rFonts w:cs="Calibri" w:ascii="Calibri" w:hAnsi="Calibri"/>
              </w:rPr>
              <w:t>As in previous years, the aim of the Association is to maintain a float of $60k and thus have sufficient funding to support ongoing operations and events, as well as to have a reserve for emergency or unpredictable incidents. Total equity increased slightly to 69,625 represented by the association’s cash assets in the bank as at 31 Dec 2025.</w:t>
            </w:r>
          </w:p>
          <w:p>
            <w:pPr>
              <w:pStyle w:val="BodyText"/>
              <w:spacing w:lineRule="atLeast" w:line="100" w:before="120" w:after="120"/>
              <w:rPr/>
            </w:pPr>
            <w:r>
              <w:rPr>
                <w:rFonts w:cs="Calibri" w:ascii="Calibri" w:hAnsi="Calibri"/>
              </w:rPr>
              <w:t>Finally, our aim is to continue to run all events with entry fees balanced to the nature of the event and expected numbers.  For instance, If we charge more for entry to the NSW Champs say, we risk deterring people from entering bush events.  Our aim is to encourage more rogainer participation.</w:t>
            </w:r>
          </w:p>
        </w:tc>
      </w:tr>
      <w:tr>
        <w:trPr/>
        <w:tc>
          <w:tcPr>
            <w:tcW w:w="9972" w:type="dxa"/>
            <w:tcBorders>
              <w:top w:val="single" w:sz="4" w:space="0" w:color="000000"/>
            </w:tcBorders>
            <w:shd w:color="auto" w:fill="FFFFFF" w:val="clear"/>
          </w:tcPr>
          <w:p>
            <w:pPr>
              <w:pStyle w:val="Normal"/>
              <w:numPr>
                <w:ilvl w:val="0"/>
                <w:numId w:val="4"/>
              </w:numPr>
              <w:spacing w:before="120" w:after="0"/>
              <w:ind w:hanging="426" w:start="426" w:end="45"/>
              <w:rPr>
                <w:rFonts w:ascii="Calibri" w:hAnsi="Calibri" w:cs="Calibri"/>
              </w:rPr>
            </w:pPr>
            <w:r>
              <w:rPr>
                <w:rFonts w:cs="Calibri" w:ascii="Calibri" w:hAnsi="Calibri"/>
                <w:b/>
                <w:bCs/>
              </w:rPr>
              <w:t>Motion that the 2025 President’s Report, presented at 2026 AGM and the Accounts incorporating the 2025 Financial Statements as approved by the Committee and tabled at this meeting be adopted</w:t>
            </w:r>
          </w:p>
          <w:p>
            <w:pPr>
              <w:pStyle w:val="Normal"/>
              <w:spacing w:before="120" w:after="240"/>
              <w:ind w:hanging="294" w:start="720" w:end="45"/>
              <w:rPr/>
            </w:pPr>
            <w:r>
              <w:rPr>
                <w:rFonts w:cs="Calibri" w:ascii="Calibri" w:hAnsi="Calibri"/>
              </w:rPr>
              <w:t xml:space="preserve">Proposed by Matt Berrington; Seconded by Siobhan Tobin. </w:t>
            </w:r>
            <w:r>
              <w:rPr>
                <w:rFonts w:cs="Calibri" w:ascii="Calibri" w:hAnsi="Calibri"/>
                <w:b/>
                <w:bCs/>
              </w:rPr>
              <w:t xml:space="preserve"> CARRIED</w:t>
            </w:r>
          </w:p>
        </w:tc>
      </w:tr>
      <w:tr>
        <w:trPr/>
        <w:tc>
          <w:tcPr>
            <w:tcW w:w="9972" w:type="dxa"/>
            <w:tcBorders>
              <w:bottom w:val="single" w:sz="4" w:space="0" w:color="000000"/>
            </w:tcBorders>
            <w:shd w:color="auto" w:fill="FFFFFF" w:val="clear"/>
          </w:tcPr>
          <w:p>
            <w:pPr>
              <w:pStyle w:val="Normal"/>
              <w:numPr>
                <w:ilvl w:val="0"/>
                <w:numId w:val="4"/>
              </w:numPr>
              <w:spacing w:before="240" w:after="120"/>
              <w:ind w:hanging="426" w:start="426" w:end="45"/>
              <w:rPr>
                <w:rFonts w:ascii="Calibri" w:hAnsi="Calibri" w:cs="Calibri"/>
              </w:rPr>
            </w:pPr>
            <w:r>
              <w:rPr>
                <w:rFonts w:cs="Calibri" w:ascii="Calibri" w:hAnsi="Calibri"/>
                <w:b/>
                <w:bCs/>
              </w:rPr>
              <w:t>Election of Office Bearers for 2026</w:t>
            </w:r>
          </w:p>
          <w:p>
            <w:pPr>
              <w:pStyle w:val="Normal"/>
              <w:rPr>
                <w:rFonts w:ascii="Calibri" w:hAnsi="Calibri" w:cs="Calibri"/>
                <w:color w:val="FF3333"/>
              </w:rPr>
            </w:pPr>
            <w:r>
              <w:rPr>
                <w:rFonts w:cs="Calibri" w:ascii="Calibri" w:hAnsi="Calibri"/>
              </w:rPr>
              <w:t>Committee Changes in 2025:</w:t>
            </w:r>
          </w:p>
          <w:p>
            <w:pPr>
              <w:pStyle w:val="Normal"/>
              <w:numPr>
                <w:ilvl w:val="0"/>
                <w:numId w:val="2"/>
              </w:numPr>
              <w:rPr>
                <w:rFonts w:ascii="Calibri" w:hAnsi="Calibri" w:cs="Calibri"/>
              </w:rPr>
            </w:pPr>
            <w:r>
              <w:rPr>
                <w:rFonts w:cs="Calibri" w:ascii="Calibri" w:hAnsi="Calibri"/>
              </w:rPr>
              <w:t>Graham Field indicated that since there has been no nomination for the role, he is willing to continue as President. Robin Cameron will continue as Vice President.</w:t>
            </w:r>
          </w:p>
          <w:p>
            <w:pPr>
              <w:pStyle w:val="Normal"/>
              <w:numPr>
                <w:ilvl w:val="0"/>
                <w:numId w:val="2"/>
              </w:numPr>
              <w:rPr>
                <w:rFonts w:ascii="Calibri" w:hAnsi="Calibri" w:cs="Calibri"/>
              </w:rPr>
            </w:pPr>
            <w:r>
              <w:rPr>
                <w:rFonts w:cs="Calibri" w:ascii="Calibri" w:hAnsi="Calibri"/>
              </w:rPr>
              <w:t xml:space="preserve">A </w:t>
            </w:r>
            <w:r>
              <w:rPr>
                <w:rFonts w:cs="Calibri" w:ascii="Calibri" w:hAnsi="Calibri"/>
                <w:b/>
                <w:bCs/>
              </w:rPr>
              <w:t>Vote of thanks</w:t>
            </w:r>
            <w:r>
              <w:rPr>
                <w:rFonts w:cs="Calibri" w:ascii="Calibri" w:hAnsi="Calibri"/>
              </w:rPr>
              <w:t xml:space="preserve"> to Ted Woodley on behalf of the Committee for all his work over the last ten years.  Supported by the Committee and attendees.</w:t>
            </w:r>
          </w:p>
          <w:p>
            <w:pPr>
              <w:pStyle w:val="Normal"/>
              <w:numPr>
                <w:ilvl w:val="0"/>
                <w:numId w:val="2"/>
              </w:numPr>
              <w:rPr>
                <w:rFonts w:ascii="Calibri" w:hAnsi="Calibri" w:cs="Calibri"/>
              </w:rPr>
            </w:pPr>
            <w:r>
              <w:rPr>
                <w:rFonts w:cs="Calibri" w:ascii="Calibri" w:hAnsi="Calibri"/>
              </w:rPr>
              <w:t xml:space="preserve">A </w:t>
            </w:r>
            <w:r>
              <w:rPr>
                <w:rFonts w:cs="Calibri" w:ascii="Calibri" w:hAnsi="Calibri"/>
                <w:b/>
                <w:bCs/>
              </w:rPr>
              <w:t>Vote of thanks</w:t>
            </w:r>
            <w:r>
              <w:rPr>
                <w:rFonts w:cs="Calibri" w:ascii="Calibri" w:hAnsi="Calibri"/>
              </w:rPr>
              <w:t xml:space="preserve"> to Martin Dearnley and the Members of the Event Sub-Committee for their contribution during 2025.</w:t>
            </w:r>
          </w:p>
          <w:p>
            <w:pPr>
              <w:pStyle w:val="Normal"/>
              <w:numPr>
                <w:ilvl w:val="0"/>
                <w:numId w:val="2"/>
              </w:numPr>
              <w:rPr>
                <w:rFonts w:ascii="Calibri" w:hAnsi="Calibri" w:cs="Calibri"/>
              </w:rPr>
            </w:pPr>
            <w:r>
              <w:rPr>
                <w:rFonts w:cs="Calibri" w:ascii="Calibri" w:hAnsi="Calibri"/>
              </w:rPr>
              <w:t xml:space="preserve">A </w:t>
            </w:r>
            <w:r>
              <w:rPr>
                <w:rFonts w:cs="Calibri" w:ascii="Calibri" w:hAnsi="Calibri"/>
                <w:b/>
                <w:bCs/>
              </w:rPr>
              <w:t>Vote of thanks</w:t>
            </w:r>
            <w:r>
              <w:rPr>
                <w:rFonts w:cs="Calibri" w:ascii="Calibri" w:hAnsi="Calibri"/>
              </w:rPr>
              <w:t xml:space="preserve"> to Julian Ledger and other members of the Marketing Sub-Committee for their contribution during 2025.</w:t>
            </w:r>
          </w:p>
          <w:p>
            <w:pPr>
              <w:pStyle w:val="Normal"/>
              <w:ind w:start="720"/>
              <w:rPr>
                <w:rFonts w:ascii="Calibri" w:hAnsi="Calibri" w:cs="Calibri"/>
                <w:color w:val="FF3333"/>
              </w:rPr>
            </w:pPr>
            <w:r>
              <w:rPr>
                <w:rFonts w:cs="Calibri" w:ascii="Calibri" w:hAnsi="Calibri"/>
                <w:color w:val="FF3333"/>
              </w:rPr>
            </w:r>
          </w:p>
          <w:p>
            <w:pPr>
              <w:pStyle w:val="Normal"/>
              <w:rPr>
                <w:rFonts w:ascii="Calibri" w:hAnsi="Calibri" w:cs="Calibri"/>
              </w:rPr>
            </w:pPr>
            <w:r>
              <w:rPr>
                <w:rFonts w:cs="Calibri" w:ascii="Calibri" w:hAnsi="Calibri"/>
              </w:rPr>
              <w:t>Committee 2026</w:t>
            </w:r>
          </w:p>
          <w:p>
            <w:pPr>
              <w:pStyle w:val="Normal"/>
              <w:rPr>
                <w:rFonts w:ascii="Calibri" w:hAnsi="Calibri" w:cs="Calibri"/>
              </w:rPr>
            </w:pPr>
            <w:r>
              <w:rPr>
                <w:rFonts w:cs="Calibri" w:ascii="Calibri" w:hAnsi="Calibri"/>
              </w:rPr>
            </w:r>
          </w:p>
          <w:p>
            <w:pPr>
              <w:pStyle w:val="Normal"/>
              <w:numPr>
                <w:ilvl w:val="0"/>
                <w:numId w:val="2"/>
              </w:numPr>
              <w:rPr>
                <w:rFonts w:ascii="Calibri" w:hAnsi="Calibri" w:cs="Calibri"/>
                <w:color w:val="FF3333"/>
              </w:rPr>
            </w:pPr>
            <w:r>
              <w:rPr>
                <w:rFonts w:cs="Calibri" w:ascii="Calibri" w:hAnsi="Calibri"/>
              </w:rPr>
              <w:t>Welcome to Zoe Melling, Sharon Lambert, Peter Hopper &amp; Ivan Koudashev</w:t>
            </w:r>
          </w:p>
          <w:p>
            <w:pPr>
              <w:pStyle w:val="Normal"/>
              <w:rPr>
                <w:rFonts w:ascii="Calibri" w:hAnsi="Calibri" w:cs="Calibri"/>
              </w:rPr>
            </w:pPr>
            <w:r>
              <w:rPr>
                <w:rFonts w:cs="Calibri" w:ascii="Calibri" w:hAnsi="Calibri"/>
              </w:rPr>
            </w:r>
          </w:p>
          <w:tbl>
            <w:tblPr>
              <w:tblW w:w="9516" w:type="dxa"/>
              <w:jc w:val="start"/>
              <w:tblInd w:w="401" w:type="dxa"/>
              <w:tblLayout w:type="fixed"/>
              <w:tblCellMar>
                <w:top w:w="0" w:type="dxa"/>
                <w:start w:w="108" w:type="dxa"/>
                <w:bottom w:w="0" w:type="dxa"/>
                <w:end w:w="108" w:type="dxa"/>
              </w:tblCellMar>
              <w:tblLook w:firstRow="0" w:noVBand="0" w:lastRow="0" w:firstColumn="0" w:lastColumn="0" w:noHBand="0" w:val="0000"/>
            </w:tblPr>
            <w:tblGrid>
              <w:gridCol w:w="2692"/>
              <w:gridCol w:w="2407"/>
              <w:gridCol w:w="2270"/>
              <w:gridCol w:w="2147"/>
            </w:tblGrid>
            <w:tr>
              <w:trPr/>
              <w:tc>
                <w:tcPr>
                  <w:tcW w:w="2692" w:type="dxa"/>
                  <w:tcBorders>
                    <w:top w:val="single" w:sz="4" w:space="0" w:color="000000"/>
                    <w:start w:val="single" w:sz="4" w:space="0" w:color="000000"/>
                    <w:bottom w:val="single" w:sz="4" w:space="0" w:color="000000"/>
                  </w:tcBorders>
                  <w:shd w:color="auto" w:fill="FFFFFF" w:val="clear"/>
                  <w:vAlign w:val="bottom"/>
                </w:tcPr>
                <w:p>
                  <w:pPr>
                    <w:pStyle w:val="Normal"/>
                    <w:rPr>
                      <w:rFonts w:ascii="Calibri" w:hAnsi="Calibri" w:cs="Calibri"/>
                      <w:b/>
                      <w:bCs/>
                    </w:rPr>
                  </w:pPr>
                  <w:r>
                    <w:rPr>
                      <w:rFonts w:cs="Calibri" w:ascii="Calibri" w:hAnsi="Calibri"/>
                      <w:b/>
                      <w:bCs/>
                    </w:rPr>
                    <w:t>Position</w:t>
                  </w:r>
                </w:p>
              </w:tc>
              <w:tc>
                <w:tcPr>
                  <w:tcW w:w="2407" w:type="dxa"/>
                  <w:tcBorders>
                    <w:top w:val="single" w:sz="4" w:space="0" w:color="000000"/>
                    <w:start w:val="single" w:sz="4" w:space="0" w:color="000000"/>
                    <w:bottom w:val="single" w:sz="4" w:space="0" w:color="000000"/>
                  </w:tcBorders>
                  <w:shd w:color="auto" w:fill="FFFFFF" w:val="clear"/>
                  <w:vAlign w:val="bottom"/>
                </w:tcPr>
                <w:p>
                  <w:pPr>
                    <w:pStyle w:val="Normal"/>
                    <w:rPr>
                      <w:rFonts w:ascii="Calibri" w:hAnsi="Calibri" w:cs="Calibri"/>
                      <w:b/>
                      <w:bCs/>
                    </w:rPr>
                  </w:pPr>
                  <w:r>
                    <w:rPr>
                      <w:rFonts w:cs="Calibri" w:ascii="Calibri" w:hAnsi="Calibri"/>
                      <w:b/>
                      <w:bCs/>
                    </w:rPr>
                    <w:t>Nominee</w:t>
                  </w:r>
                </w:p>
              </w:tc>
              <w:tc>
                <w:tcPr>
                  <w:tcW w:w="2270" w:type="dxa"/>
                  <w:tcBorders>
                    <w:top w:val="single" w:sz="4" w:space="0" w:color="000000"/>
                    <w:start w:val="single" w:sz="4" w:space="0" w:color="000000"/>
                    <w:bottom w:val="single" w:sz="4" w:space="0" w:color="000000"/>
                  </w:tcBorders>
                  <w:shd w:color="auto" w:fill="FFFFFF" w:val="clear"/>
                  <w:vAlign w:val="bottom"/>
                </w:tcPr>
                <w:p>
                  <w:pPr>
                    <w:pStyle w:val="Normal"/>
                    <w:rPr>
                      <w:rFonts w:ascii="Calibri" w:hAnsi="Calibri" w:cs="Calibri"/>
                      <w:b/>
                      <w:bCs/>
                    </w:rPr>
                  </w:pPr>
                  <w:r>
                    <w:rPr>
                      <w:rFonts w:cs="Calibri" w:ascii="Calibri" w:hAnsi="Calibri"/>
                      <w:b/>
                      <w:bCs/>
                    </w:rPr>
                    <w:t>Proposer</w:t>
                  </w:r>
                </w:p>
              </w:tc>
              <w:tc>
                <w:tcPr>
                  <w:tcW w:w="2147" w:type="dxa"/>
                  <w:tcBorders>
                    <w:top w:val="single" w:sz="4" w:space="0" w:color="000000"/>
                    <w:start w:val="single" w:sz="4" w:space="0" w:color="000000"/>
                    <w:bottom w:val="single" w:sz="4" w:space="0" w:color="000000"/>
                    <w:end w:val="single" w:sz="4" w:space="0" w:color="000000"/>
                  </w:tcBorders>
                  <w:shd w:color="auto" w:fill="FFFFFF" w:val="clear"/>
                  <w:vAlign w:val="bottom"/>
                </w:tcPr>
                <w:p>
                  <w:pPr>
                    <w:pStyle w:val="Normal"/>
                    <w:rPr/>
                  </w:pPr>
                  <w:r>
                    <w:rPr>
                      <w:rFonts w:cs="Calibri" w:ascii="Calibri" w:hAnsi="Calibri"/>
                      <w:b/>
                      <w:bCs/>
                    </w:rPr>
                    <w:t>Seconder</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President</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Graham Field</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Julian Ledger</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Vice-President</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Robin Cameron</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Julian Ledger</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Treasurer</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Mike Hotchkis</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Julian Ledger</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Secretary</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John Clancy</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Martin Dearnley</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Graham Field</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Public Officer</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John Clancy</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Graham Field</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Julian Ledger</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Publicity Officer</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Arthur Day</w:t>
                  </w:r>
                </w:p>
              </w:tc>
              <w:tc>
                <w:tcPr>
                  <w:tcW w:w="2270" w:type="dxa"/>
                  <w:tcBorders>
                    <w:top w:val="single" w:sz="4" w:space="0" w:color="000000"/>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t>Graham Field</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snapToGrid w:val="false"/>
                    <w:rPr/>
                  </w:pPr>
                  <w:r>
                    <w:rPr>
                      <w:rFonts w:cs="Calibri" w:ascii="Calibri" w:hAnsi="Calibri"/>
                    </w:rPr>
                    <w:t>Julian Ledger</w:t>
                  </w:r>
                </w:p>
              </w:tc>
            </w:tr>
            <w:tr>
              <w:trPr/>
              <w:tc>
                <w:tcPr>
                  <w:tcW w:w="2692"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Event Manager</w:t>
                  </w:r>
                </w:p>
              </w:tc>
              <w:tc>
                <w:tcPr>
                  <w:tcW w:w="2407"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 xml:space="preserve">Vacant </w:t>
                  </w:r>
                  <w:r>
                    <w:rPr>
                      <w:rFonts w:cs="Calibri" w:ascii="Calibri" w:hAnsi="Calibri"/>
                      <w:vertAlign w:val="superscript"/>
                    </w:rPr>
                    <w:t>1</w:t>
                  </w:r>
                </w:p>
              </w:tc>
              <w:tc>
                <w:tcPr>
                  <w:tcW w:w="2270"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147" w:type="dxa"/>
                  <w:tcBorders>
                    <w:start w:val="single" w:sz="4" w:space="0" w:color="000000"/>
                    <w:bottom w:val="single" w:sz="4" w:space="0" w:color="000000"/>
                    <w:end w:val="single" w:sz="4" w:space="0" w:color="000000"/>
                  </w:tcBorders>
                  <w:shd w:color="auto" w:fill="FFFFFF" w:val="clear"/>
                </w:tcPr>
                <w:p>
                  <w:pPr>
                    <w:pStyle w:val="Normal"/>
                    <w:snapToGrid w:val="false"/>
                    <w:rPr>
                      <w:rFonts w:ascii="Calibri" w:hAnsi="Calibri" w:cs="Calibri"/>
                    </w:rPr>
                  </w:pPr>
                  <w:r>
                    <w:rPr>
                      <w:rFonts w:cs="Calibri" w:ascii="Calibri" w:hAnsi="Calibri"/>
                    </w:rPr>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snapToGrid w:val="false"/>
                    <w:rPr>
                      <w:rFonts w:ascii="Calibri" w:hAnsi="Calibri" w:cs="Calibri"/>
                      <w:b/>
                      <w:bCs/>
                    </w:rPr>
                  </w:pPr>
                  <w:r>
                    <w:rPr>
                      <w:rFonts w:cs="Calibri" w:ascii="Calibri" w:hAnsi="Calibri"/>
                      <w:b/>
                      <w:bCs/>
                    </w:rPr>
                  </w:r>
                </w:p>
              </w:tc>
              <w:tc>
                <w:tcPr>
                  <w:tcW w:w="2407" w:type="dxa"/>
                  <w:tcBorders>
                    <w:top w:val="single" w:sz="4" w:space="0" w:color="000000"/>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270" w:type="dxa"/>
                  <w:tcBorders>
                    <w:top w:val="single" w:sz="4" w:space="0" w:color="000000"/>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snapToGrid w:val="false"/>
                    <w:rPr>
                      <w:rFonts w:ascii="Calibri" w:hAnsi="Calibri" w:cs="Calibri"/>
                    </w:rPr>
                  </w:pPr>
                  <w:r>
                    <w:rPr>
                      <w:rFonts w:cs="Calibri" w:ascii="Calibri" w:hAnsi="Calibri"/>
                    </w:rPr>
                  </w:r>
                </w:p>
              </w:tc>
            </w:tr>
            <w:tr>
              <w:trPr/>
              <w:tc>
                <w:tcPr>
                  <w:tcW w:w="2692"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b/>
                      <w:bCs/>
                    </w:rPr>
                    <w:t>Ordinary Members</w:t>
                  </w:r>
                </w:p>
              </w:tc>
              <w:tc>
                <w:tcPr>
                  <w:tcW w:w="2407"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270"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147" w:type="dxa"/>
                  <w:tcBorders>
                    <w:start w:val="single" w:sz="4" w:space="0" w:color="000000"/>
                    <w:bottom w:val="single" w:sz="4" w:space="0" w:color="000000"/>
                    <w:end w:val="single" w:sz="4" w:space="0" w:color="000000"/>
                  </w:tcBorders>
                  <w:shd w:color="auto" w:fill="FFFFFF" w:val="clear"/>
                </w:tcPr>
                <w:p>
                  <w:pPr>
                    <w:pStyle w:val="Normal"/>
                    <w:snapToGrid w:val="false"/>
                    <w:rPr>
                      <w:rFonts w:ascii="Calibri" w:hAnsi="Calibri" w:cs="Calibri"/>
                    </w:rPr>
                  </w:pPr>
                  <w:r>
                    <w:rPr>
                      <w:rFonts w:cs="Calibri" w:ascii="Calibri" w:hAnsi="Calibri"/>
                    </w:rPr>
                  </w:r>
                </w:p>
              </w:tc>
            </w:tr>
            <w:tr>
              <w:trPr/>
              <w:tc>
                <w:tcPr>
                  <w:tcW w:w="2692"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Volunteer Coordinator</w:t>
                  </w:r>
                </w:p>
              </w:tc>
              <w:tc>
                <w:tcPr>
                  <w:tcW w:w="2407"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Robin Cameron</w:t>
                  </w:r>
                </w:p>
              </w:tc>
              <w:tc>
                <w:tcPr>
                  <w:tcW w:w="2270"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Ted Woodley</w:t>
                  </w:r>
                </w:p>
              </w:tc>
              <w:tc>
                <w:tcPr>
                  <w:tcW w:w="2147" w:type="dxa"/>
                  <w:tcBorders>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ARA Representative</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 xml:space="preserve">Julian Ledger </w:t>
                  </w:r>
                  <w:r>
                    <w:rPr>
                      <w:rFonts w:cs="Calibri" w:ascii="Calibri" w:hAnsi="Calibri"/>
                      <w:vertAlign w:val="superscript"/>
                    </w:rPr>
                    <w:t>2</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Graham Field</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Membership Secretary</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 xml:space="preserve">Chris Stevenson </w:t>
                  </w:r>
                  <w:r>
                    <w:rPr>
                      <w:rFonts w:cs="Calibri" w:ascii="Calibri" w:hAnsi="Calibri"/>
                      <w:vertAlign w:val="superscript"/>
                    </w:rPr>
                    <w:t>3</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Graham Field</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Equipment Officer</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Mark Von Huben</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Graham Field</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Safety Officer</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Charles Kuan</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Graham Field</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Publicity Coordinator / Newsletter Editor</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Arthur Day</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Graham Field</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WebAdmin(s)</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Matt Berringotn &amp; Siobhan Tobin</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Graham Field</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Archivist</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 xml:space="preserve">Julian Ledger </w:t>
                  </w:r>
                  <w:r>
                    <w:rPr>
                      <w:rFonts w:cs="Calibri" w:ascii="Calibri" w:hAnsi="Calibri"/>
                      <w:vertAlign w:val="superscript"/>
                    </w:rPr>
                    <w:t>2</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Graham Field</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General committee</w:t>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Richard Sage</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Mike Hotchkis</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Pam Montgomery</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Mike Hotchkis</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top w:val="single" w:sz="4" w:space="0" w:color="000000"/>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407"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Bob Montgomery</w:t>
                  </w:r>
                </w:p>
              </w:tc>
              <w:tc>
                <w:tcPr>
                  <w:tcW w:w="2270" w:type="dxa"/>
                  <w:tcBorders>
                    <w:top w:val="single" w:sz="4" w:space="0" w:color="000000"/>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Mike Hotchkis</w:t>
                  </w:r>
                </w:p>
              </w:tc>
              <w:tc>
                <w:tcPr>
                  <w:tcW w:w="2147" w:type="dxa"/>
                  <w:tcBorders>
                    <w:top w:val="single" w:sz="4" w:space="0" w:color="000000"/>
                    <w:start w:val="single" w:sz="4" w:space="0" w:color="000000"/>
                    <w:bottom w:val="single" w:sz="4" w:space="0" w:color="000000"/>
                    <w:end w:val="single" w:sz="4" w:space="0" w:color="000000"/>
                  </w:tcBorders>
                  <w:shd w:color="auto" w:fill="FFFFFF" w:val="clear"/>
                </w:tcPr>
                <w:p>
                  <w:pPr>
                    <w:pStyle w:val="Normal"/>
                    <w:rPr/>
                  </w:pPr>
                  <w:r>
                    <w:rPr>
                      <w:rFonts w:cs="Calibri" w:ascii="Calibri" w:hAnsi="Calibri"/>
                    </w:rPr>
                    <w:t>John Clancy</w:t>
                  </w:r>
                </w:p>
              </w:tc>
            </w:tr>
            <w:tr>
              <w:trPr/>
              <w:tc>
                <w:tcPr>
                  <w:tcW w:w="2692"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407"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Zoe Melling</w:t>
                  </w:r>
                </w:p>
              </w:tc>
              <w:tc>
                <w:tcPr>
                  <w:tcW w:w="2270"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147" w:type="dxa"/>
                  <w:tcBorders>
                    <w:start w:val="single" w:sz="4" w:space="0" w:color="000000"/>
                    <w:bottom w:val="single" w:sz="4" w:space="0" w:color="000000"/>
                    <w:end w:val="single" w:sz="4" w:space="0" w:color="000000"/>
                  </w:tcBorders>
                  <w:shd w:color="auto" w:fill="FFFFFF" w:val="clear"/>
                </w:tcPr>
                <w:p>
                  <w:pPr>
                    <w:pStyle w:val="Normal"/>
                    <w:snapToGrid w:val="false"/>
                    <w:rPr>
                      <w:rFonts w:ascii="Calibri" w:hAnsi="Calibri" w:cs="Calibri"/>
                    </w:rPr>
                  </w:pPr>
                  <w:r>
                    <w:rPr>
                      <w:rFonts w:cs="Calibri" w:ascii="Calibri" w:hAnsi="Calibri"/>
                    </w:rPr>
                  </w:r>
                </w:p>
              </w:tc>
            </w:tr>
            <w:tr>
              <w:trPr/>
              <w:tc>
                <w:tcPr>
                  <w:tcW w:w="2692"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407"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Ivan Koudashev</w:t>
                  </w:r>
                </w:p>
              </w:tc>
              <w:tc>
                <w:tcPr>
                  <w:tcW w:w="2270"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147" w:type="dxa"/>
                  <w:tcBorders>
                    <w:start w:val="single" w:sz="4" w:space="0" w:color="000000"/>
                    <w:bottom w:val="single" w:sz="4" w:space="0" w:color="000000"/>
                    <w:end w:val="single" w:sz="4" w:space="0" w:color="000000"/>
                  </w:tcBorders>
                  <w:shd w:color="auto" w:fill="FFFFFF" w:val="clear"/>
                </w:tcPr>
                <w:p>
                  <w:pPr>
                    <w:pStyle w:val="Normal"/>
                    <w:snapToGrid w:val="false"/>
                    <w:rPr>
                      <w:rFonts w:ascii="Calibri" w:hAnsi="Calibri" w:cs="Calibri"/>
                    </w:rPr>
                  </w:pPr>
                  <w:r>
                    <w:rPr>
                      <w:rFonts w:cs="Calibri" w:ascii="Calibri" w:hAnsi="Calibri"/>
                    </w:rPr>
                  </w:r>
                </w:p>
              </w:tc>
            </w:tr>
            <w:tr>
              <w:trPr/>
              <w:tc>
                <w:tcPr>
                  <w:tcW w:w="2692"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407"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Sharon Lambert</w:t>
                  </w:r>
                </w:p>
              </w:tc>
              <w:tc>
                <w:tcPr>
                  <w:tcW w:w="2270"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147" w:type="dxa"/>
                  <w:tcBorders>
                    <w:start w:val="single" w:sz="4" w:space="0" w:color="000000"/>
                    <w:bottom w:val="single" w:sz="4" w:space="0" w:color="000000"/>
                    <w:end w:val="single" w:sz="4" w:space="0" w:color="000000"/>
                  </w:tcBorders>
                  <w:shd w:color="auto" w:fill="FFFFFF" w:val="clear"/>
                </w:tcPr>
                <w:p>
                  <w:pPr>
                    <w:pStyle w:val="Normal"/>
                    <w:snapToGrid w:val="false"/>
                    <w:rPr>
                      <w:rFonts w:ascii="Calibri" w:hAnsi="Calibri" w:cs="Calibri"/>
                    </w:rPr>
                  </w:pPr>
                  <w:r>
                    <w:rPr>
                      <w:rFonts w:cs="Calibri" w:ascii="Calibri" w:hAnsi="Calibri"/>
                    </w:rPr>
                  </w:r>
                </w:p>
              </w:tc>
            </w:tr>
            <w:tr>
              <w:trPr/>
              <w:tc>
                <w:tcPr>
                  <w:tcW w:w="2692"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407" w:type="dxa"/>
                  <w:tcBorders>
                    <w:start w:val="single" w:sz="4" w:space="0" w:color="000000"/>
                    <w:bottom w:val="single" w:sz="4" w:space="0" w:color="000000"/>
                  </w:tcBorders>
                  <w:shd w:color="auto" w:fill="FFFFFF" w:val="clear"/>
                </w:tcPr>
                <w:p>
                  <w:pPr>
                    <w:pStyle w:val="Normal"/>
                    <w:rPr>
                      <w:rFonts w:ascii="Calibri" w:hAnsi="Calibri" w:cs="Calibri"/>
                    </w:rPr>
                  </w:pPr>
                  <w:r>
                    <w:rPr>
                      <w:rFonts w:cs="Calibri" w:ascii="Calibri" w:hAnsi="Calibri"/>
                    </w:rPr>
                    <w:t>Peter Hopper</w:t>
                  </w:r>
                </w:p>
              </w:tc>
              <w:tc>
                <w:tcPr>
                  <w:tcW w:w="2270" w:type="dxa"/>
                  <w:tcBorders>
                    <w:start w:val="single" w:sz="4" w:space="0" w:color="000000"/>
                    <w:bottom w:val="single" w:sz="4" w:space="0" w:color="000000"/>
                  </w:tcBorders>
                  <w:shd w:color="auto" w:fill="FFFFFF" w:val="clear"/>
                </w:tcPr>
                <w:p>
                  <w:pPr>
                    <w:pStyle w:val="Normal"/>
                    <w:snapToGrid w:val="false"/>
                    <w:rPr>
                      <w:rFonts w:ascii="Calibri" w:hAnsi="Calibri" w:cs="Calibri"/>
                    </w:rPr>
                  </w:pPr>
                  <w:r>
                    <w:rPr>
                      <w:rFonts w:cs="Calibri" w:ascii="Calibri" w:hAnsi="Calibri"/>
                    </w:rPr>
                  </w:r>
                </w:p>
              </w:tc>
              <w:tc>
                <w:tcPr>
                  <w:tcW w:w="2147" w:type="dxa"/>
                  <w:tcBorders>
                    <w:start w:val="single" w:sz="4" w:space="0" w:color="000000"/>
                    <w:bottom w:val="single" w:sz="4" w:space="0" w:color="000000"/>
                    <w:end w:val="single" w:sz="4" w:space="0" w:color="000000"/>
                  </w:tcBorders>
                  <w:shd w:color="auto" w:fill="FFFFFF" w:val="clear"/>
                </w:tcPr>
                <w:p>
                  <w:pPr>
                    <w:pStyle w:val="Normal"/>
                    <w:snapToGrid w:val="false"/>
                    <w:rPr>
                      <w:rFonts w:ascii="Calibri" w:hAnsi="Calibri" w:cs="Calibri"/>
                    </w:rPr>
                  </w:pPr>
                  <w:r>
                    <w:rPr>
                      <w:rFonts w:cs="Calibri" w:ascii="Calibri" w:hAnsi="Calibri"/>
                    </w:rPr>
                  </w:r>
                </w:p>
              </w:tc>
            </w:tr>
          </w:tbl>
          <w:p>
            <w:pPr>
              <w:pStyle w:val="BodyText"/>
              <w:spacing w:before="120" w:after="0"/>
              <w:rPr>
                <w:rFonts w:ascii="Calibri" w:hAnsi="Calibri" w:cs="Calibri"/>
              </w:rPr>
            </w:pPr>
            <w:r>
              <w:rPr>
                <w:rFonts w:cs="Calibri" w:ascii="Calibri" w:hAnsi="Calibri"/>
              </w:rPr>
              <w:t>Notes</w:t>
            </w:r>
          </w:p>
          <w:p>
            <w:pPr>
              <w:pStyle w:val="Normal"/>
              <w:numPr>
                <w:ilvl w:val="0"/>
                <w:numId w:val="3"/>
              </w:numPr>
              <w:rPr>
                <w:rFonts w:ascii="Calibri" w:hAnsi="Calibri" w:cs="Calibri"/>
              </w:rPr>
            </w:pPr>
            <w:r>
              <w:rPr>
                <w:rFonts w:cs="Calibri" w:ascii="Calibri" w:hAnsi="Calibri"/>
              </w:rPr>
              <w:t>Event Management is now handled by the Events Subcommittee under the Chairmanship of Martin Dearnley.</w:t>
            </w:r>
          </w:p>
          <w:p>
            <w:pPr>
              <w:pStyle w:val="Normal"/>
              <w:numPr>
                <w:ilvl w:val="0"/>
                <w:numId w:val="3"/>
              </w:numPr>
              <w:rPr>
                <w:rFonts w:ascii="Calibri" w:hAnsi="Calibri" w:cs="Calibri"/>
              </w:rPr>
            </w:pPr>
            <w:r>
              <w:rPr>
                <w:rFonts w:cs="Calibri" w:ascii="Calibri" w:hAnsi="Calibri"/>
              </w:rPr>
              <w:t>Julian Ledger is not a Committee member and holds these positions on request of the Committee.</w:t>
            </w:r>
          </w:p>
          <w:p>
            <w:pPr>
              <w:pStyle w:val="Normal"/>
              <w:numPr>
                <w:ilvl w:val="0"/>
                <w:numId w:val="3"/>
              </w:numPr>
              <w:rPr>
                <w:rFonts w:ascii="Calibri" w:hAnsi="Calibri" w:cs="Calibri"/>
              </w:rPr>
            </w:pPr>
            <w:r>
              <w:rPr>
                <w:rFonts w:cs="Calibri" w:ascii="Calibri" w:hAnsi="Calibri"/>
              </w:rPr>
              <w:t>Chris Stevenson is not a Committee member and maintains the membership records and reports directly to the President and Public Officer.</w:t>
            </w:r>
          </w:p>
          <w:p>
            <w:pPr>
              <w:pStyle w:val="Normal"/>
              <w:numPr>
                <w:ilvl w:val="0"/>
                <w:numId w:val="3"/>
              </w:numPr>
              <w:rPr>
                <w:rFonts w:ascii="Calibri" w:hAnsi="Calibri" w:cs="Calibri"/>
              </w:rPr>
            </w:pPr>
            <w:r>
              <w:rPr>
                <w:rFonts w:cs="Calibri" w:ascii="Calibri" w:hAnsi="Calibri"/>
              </w:rPr>
              <w:t>Web Administration duties have now been transitioned from Chris Stevenson to Matt Berrington and Siobhan Tobin.</w:t>
            </w:r>
          </w:p>
          <w:p>
            <w:pPr>
              <w:pStyle w:val="Normal"/>
              <w:ind w:start="714"/>
              <w:rPr>
                <w:rFonts w:ascii="Calibri" w:hAnsi="Calibri" w:cs="Calibri"/>
              </w:rPr>
            </w:pPr>
            <w:r>
              <w:rPr>
                <w:rFonts w:cs="Calibri" w:ascii="Calibri" w:hAnsi="Calibri"/>
              </w:rPr>
            </w:r>
          </w:p>
        </w:tc>
      </w:tr>
      <w:tr>
        <w:trPr/>
        <w:tc>
          <w:tcPr>
            <w:tcW w:w="9972" w:type="dxa"/>
            <w:tcBorders>
              <w:top w:val="single" w:sz="4" w:space="0" w:color="000000"/>
            </w:tcBorders>
            <w:shd w:color="auto" w:fill="FFFFFF" w:val="clear"/>
          </w:tcPr>
          <w:p>
            <w:pPr>
              <w:pStyle w:val="Normal"/>
              <w:numPr>
                <w:ilvl w:val="0"/>
                <w:numId w:val="4"/>
              </w:numPr>
              <w:spacing w:before="120" w:after="120"/>
              <w:ind w:hanging="720" w:start="0" w:end="45"/>
              <w:rPr>
                <w:rFonts w:ascii="Calibri" w:hAnsi="Calibri" w:cs="Calibri"/>
              </w:rPr>
            </w:pPr>
            <w:r>
              <w:rPr>
                <w:rFonts w:cs="Calibri" w:ascii="Calibri" w:hAnsi="Calibri"/>
                <w:b/>
                <w:bCs/>
              </w:rPr>
              <w:t>Other Business</w:t>
            </w:r>
          </w:p>
          <w:p>
            <w:pPr>
              <w:pStyle w:val="Normal"/>
              <w:numPr>
                <w:ilvl w:val="0"/>
                <w:numId w:val="5"/>
              </w:numPr>
              <w:tabs>
                <w:tab w:val="clear" w:pos="720"/>
                <w:tab w:val="left" w:pos="267" w:leader="none"/>
              </w:tabs>
              <w:ind w:hanging="357" w:start="714" w:end="45"/>
              <w:rPr>
                <w:rFonts w:ascii="Calibri" w:hAnsi="Calibri" w:cs="Calibri"/>
              </w:rPr>
            </w:pPr>
            <w:r>
              <w:rPr>
                <w:rFonts w:cs="Calibri" w:ascii="Calibri" w:hAnsi="Calibri"/>
              </w:rPr>
              <w:t>Review of the NSWRA Constitution. It is proposed the Constitution will be reviewed during 2026 including adoption of maximum terms for committee members and office bearers. All changes will be presented to the members for consideration and adoption.</w:t>
            </w:r>
          </w:p>
          <w:p>
            <w:pPr>
              <w:pStyle w:val="Normal"/>
              <w:numPr>
                <w:ilvl w:val="0"/>
                <w:numId w:val="5"/>
              </w:numPr>
              <w:tabs>
                <w:tab w:val="clear" w:pos="720"/>
                <w:tab w:val="left" w:pos="267" w:leader="none"/>
              </w:tabs>
              <w:ind w:hanging="357" w:start="714" w:end="45"/>
              <w:rPr/>
            </w:pPr>
            <w:r>
              <w:rPr>
                <w:rFonts w:cs="Calibri" w:ascii="Calibri" w:hAnsi="Calibri"/>
              </w:rPr>
              <w:t xml:space="preserve">There was no other business, and Julian Ledger proposed a </w:t>
            </w:r>
            <w:r>
              <w:rPr>
                <w:rFonts w:cs="Calibri" w:ascii="Calibri" w:hAnsi="Calibri"/>
                <w:b/>
                <w:bCs/>
              </w:rPr>
              <w:t xml:space="preserve">Vote of Thanks </w:t>
            </w:r>
            <w:r>
              <w:rPr>
                <w:rFonts w:cs="Calibri" w:ascii="Calibri" w:hAnsi="Calibri"/>
              </w:rPr>
              <w:t>to Graham Field, all Members of the Committee and Volunteers who contributed to the success of NSWRA in 2025.</w:t>
            </w:r>
          </w:p>
          <w:p>
            <w:pPr>
              <w:pStyle w:val="Normal"/>
              <w:tabs>
                <w:tab w:val="clear" w:pos="720"/>
                <w:tab w:val="left" w:pos="267" w:leader="none"/>
              </w:tabs>
              <w:ind w:hanging="357" w:start="714" w:end="45"/>
              <w:rPr/>
            </w:pPr>
            <w:r>
              <w:rPr/>
            </w:r>
          </w:p>
          <w:p>
            <w:pPr>
              <w:pStyle w:val="Normal"/>
              <w:spacing w:before="240" w:after="0"/>
              <w:rPr/>
            </w:pPr>
            <w:r>
              <w:rPr>
                <w:rFonts w:cs="Calibri" w:ascii="Calibri" w:hAnsi="Calibri"/>
                <w:b/>
                <w:bCs/>
              </w:rPr>
              <w:t>AGM closed: 2.50pm</w:t>
            </w:r>
          </w:p>
        </w:tc>
      </w:tr>
    </w:tbl>
    <w:p>
      <w:pPr>
        <w:pStyle w:val="Normal"/>
        <w:rPr/>
      </w:pPr>
      <w:r>
        <w:rPr/>
      </w:r>
    </w:p>
    <w:sectPr>
      <w:footerReference w:type="even" r:id="rId5"/>
      <w:footerReference w:type="default" r:id="rId6"/>
      <w:footerReference w:type="first" r:id="rId7"/>
      <w:type w:val="nextPage"/>
      <w:pgSz w:w="11906" w:h="16838"/>
      <w:pgMar w:left="1134" w:right="849" w:gutter="0" w:header="0" w:top="777" w:footer="1440" w:bottom="1497"/>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Symbol">
    <w:charset w:val="00" w:characterSet="windows-1252"/>
    <w:family w:val="roman"/>
    <w:pitch w:val="variable"/>
  </w:font>
  <w:font w:name="Courier New">
    <w:charset w:val="00" w:characterSet="windows-1252"/>
    <w:family w:val="roman"/>
    <w:pitch w:val="variable"/>
  </w:font>
  <w:font w:name="Wingdings">
    <w:charset w:val="00" w:characterSet="windows-1252"/>
    <w:family w:val="roman"/>
    <w:pitch w:val="variable"/>
  </w:font>
  <w:font w:name="OpenSymbol">
    <w:altName w:val="Arial Unicode MS"/>
    <w:charset w:val="00" w:characterSet="windows-1252"/>
    <w:family w:val="roman"/>
    <w:pitch w:val="variable"/>
  </w:font>
  <w:font w:name="Liberation Sans">
    <w:altName w:val="Arial"/>
    <w:charset w:val="00" w:characterSet="windows-1252"/>
    <w:family w:val="swiss"/>
    <w:pitch w:val="variable"/>
  </w:font>
  <w:font w:name="Aptos Display">
    <w:charset w:val="00" w:characterSet="windows-1252"/>
    <w:family w:val="swiss"/>
    <w:pitch w:val="variable"/>
  </w:font>
  <w:font w:name="Calibri">
    <w:charset w:val="00" w:characterSet="windows-1252"/>
    <w:family w:val="swiss"/>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pBdr>
        <w:top w:val="single" w:sz="4" w:space="1" w:color="000000"/>
      </w:pBdr>
      <w:tabs>
        <w:tab w:val="clear" w:pos="9026"/>
        <w:tab w:val="right" w:pos="9332" w:leader="none"/>
      </w:tabs>
      <w:spacing w:before="240" w:after="0"/>
      <w:rPr/>
    </w:pPr>
    <w:r>
      <w:rPr/>
      <w:fldChar w:fldCharType="begin"/>
    </w:r>
    <w:r>
      <w:rPr/>
      <w:instrText xml:space="preserve"> PAGE </w:instrText>
    </w:r>
    <w:r>
      <w:rPr/>
      <w:fldChar w:fldCharType="separate"/>
    </w:r>
    <w:r>
      <w:rPr/>
      <w:t>6</w:t>
    </w:r>
    <w:r>
      <w:rPr/>
      <w:fldChar w:fldCharType="end"/>
    </w:r>
    <w:r>
      <w:rPr>
        <w:rFonts w:cs="Aptos Display" w:ascii="Aptos Display" w:hAnsi="Aptos Display"/>
        <w:b/>
        <w:bCs/>
      </w:rPr>
      <w:t xml:space="preserve"> </w:t>
    </w:r>
    <w:r>
      <w:rPr>
        <w:rFonts w:cs="Aptos Display" w:ascii="Aptos Display" w:hAnsi="Aptos Display"/>
        <w:b/>
        <w:bCs/>
      </w:rPr>
      <w:t xml:space="preserve">| </w:t>
    </w:r>
    <w:r>
      <w:rPr>
        <w:rFonts w:cs="Aptos Display" w:ascii="Aptos Display" w:hAnsi="Aptos Display"/>
        <w:color w:val="7F7F7F"/>
      </w:rPr>
      <w:t>NSWRA AGM Minutes 22/2/2026</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pBdr>
        <w:top w:val="single" w:sz="4" w:space="1" w:color="000000"/>
      </w:pBdr>
      <w:tabs>
        <w:tab w:val="clear" w:pos="9026"/>
        <w:tab w:val="right" w:pos="9332" w:leader="none"/>
      </w:tabs>
      <w:spacing w:before="240" w:after="0"/>
      <w:rPr/>
    </w:pPr>
    <w:r>
      <w:rPr/>
      <w:fldChar w:fldCharType="begin"/>
    </w:r>
    <w:r>
      <w:rPr/>
      <w:instrText xml:space="preserve"> PAGE </w:instrText>
    </w:r>
    <w:r>
      <w:rPr/>
      <w:fldChar w:fldCharType="separate"/>
    </w:r>
    <w:r>
      <w:rPr/>
      <w:t>6</w:t>
    </w:r>
    <w:r>
      <w:rPr/>
      <w:fldChar w:fldCharType="end"/>
    </w:r>
    <w:r>
      <w:rPr>
        <w:rFonts w:cs="Aptos Display" w:ascii="Aptos Display" w:hAnsi="Aptos Display"/>
        <w:b/>
        <w:bCs/>
      </w:rPr>
      <w:t xml:space="preserve"> </w:t>
    </w:r>
    <w:r>
      <w:rPr>
        <w:rFonts w:cs="Aptos Display" w:ascii="Aptos Display" w:hAnsi="Aptos Display"/>
        <w:b/>
        <w:bCs/>
      </w:rPr>
      <w:t xml:space="preserve">| </w:t>
    </w:r>
    <w:r>
      <w:rPr>
        <w:rFonts w:cs="Aptos Display" w:ascii="Aptos Display" w:hAnsi="Aptos Display"/>
        <w:color w:val="7F7F7F"/>
      </w:rPr>
      <w:t>NSWRA AGM Minutes 22/2/2026</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432" w:hanging="432"/>
      </w:pPr>
      <w:rPr/>
    </w:lvl>
    <w:lvl w:ilvl="1">
      <w:start w:val="1"/>
      <w:numFmt w:val="none"/>
      <w:suff w:val="nothing"/>
      <w:lvlText w:val=""/>
      <w:lvlJc w:val="start"/>
      <w:pPr>
        <w:tabs>
          <w:tab w:val="num" w:pos="0"/>
        </w:tabs>
        <w:ind w:start="576" w:hanging="576"/>
      </w:pPr>
      <w:rPr>
        <w:rFonts w:cs="Courier New"/>
      </w:rPr>
    </w:lvl>
    <w:lvl w:ilvl="2">
      <w:start w:val="1"/>
      <w:numFmt w:val="none"/>
      <w:suff w:val="nothing"/>
      <w:lvlText w:val=""/>
      <w:lvlJc w:val="start"/>
      <w:pPr>
        <w:tabs>
          <w:tab w:val="num" w:pos="0"/>
        </w:tabs>
        <w:ind w:start="720" w:hanging="720"/>
      </w:pPr>
      <w:rPr/>
    </w:lvl>
    <w:lvl w:ilvl="3">
      <w:start w:val="1"/>
      <w:numFmt w:val="none"/>
      <w:suff w:val="nothing"/>
      <w:lvlText w:val=""/>
      <w:lvlJc w:val="start"/>
      <w:pPr>
        <w:tabs>
          <w:tab w:val="num" w:pos="0"/>
        </w:tabs>
        <w:ind w:start="864" w:hanging="864"/>
      </w:pPr>
      <w:rPr/>
    </w:lvl>
    <w:lvl w:ilvl="4">
      <w:start w:val="1"/>
      <w:numFmt w:val="none"/>
      <w:suff w:val="nothing"/>
      <w:lvlText w:val=""/>
      <w:lvlJc w:val="start"/>
      <w:pPr>
        <w:tabs>
          <w:tab w:val="num" w:pos="0"/>
        </w:tabs>
        <w:ind w:start="1008" w:hanging="1008"/>
      </w:pPr>
      <w:rPr/>
    </w:lvl>
    <w:lvl w:ilvl="5">
      <w:start w:val="1"/>
      <w:numFmt w:val="none"/>
      <w:suff w:val="nothing"/>
      <w:lvlText w:val=""/>
      <w:lvlJc w:val="start"/>
      <w:pPr>
        <w:tabs>
          <w:tab w:val="num" w:pos="0"/>
        </w:tabs>
        <w:ind w:start="1152" w:hanging="1152"/>
      </w:pPr>
      <w:rPr/>
    </w:lvl>
    <w:lvl w:ilvl="6">
      <w:start w:val="1"/>
      <w:numFmt w:val="none"/>
      <w:suff w:val="nothing"/>
      <w:lvlText w:val=""/>
      <w:lvlJc w:val="start"/>
      <w:pPr>
        <w:tabs>
          <w:tab w:val="num" w:pos="0"/>
        </w:tabs>
        <w:ind w:start="1296" w:hanging="1296"/>
      </w:pPr>
      <w:rPr/>
    </w:lvl>
    <w:lvl w:ilvl="7">
      <w:start w:val="1"/>
      <w:numFmt w:val="none"/>
      <w:suff w:val="nothing"/>
      <w:lvlText w:val=""/>
      <w:lvlJc w:val="start"/>
      <w:pPr>
        <w:tabs>
          <w:tab w:val="num" w:pos="0"/>
        </w:tabs>
        <w:ind w:start="1440" w:hanging="1440"/>
      </w:pPr>
      <w:rPr/>
    </w:lvl>
    <w:lvl w:ilvl="8">
      <w:start w:val="1"/>
      <w:numFmt w:val="none"/>
      <w:suff w:val="nothing"/>
      <w:lvlText w:val=""/>
      <w:lvlJc w:val="start"/>
      <w:pPr>
        <w:tabs>
          <w:tab w:val="num" w:pos="0"/>
        </w:tabs>
        <w:ind w:start="1584" w:hanging="1584"/>
      </w:pPr>
      <w:rPr/>
    </w:lvl>
  </w:abstractNum>
  <w:abstractNum w:abstractNumId="2">
    <w:lvl w:ilvl="0">
      <w:start w:val="1"/>
      <w:numFmt w:val="bullet"/>
      <w:lvlText w:val=""/>
      <w:lvlJc w:val="start"/>
      <w:pPr>
        <w:tabs>
          <w:tab w:val="num" w:pos="0"/>
        </w:tabs>
        <w:ind w:start="720" w:hanging="360"/>
      </w:pPr>
      <w:rPr>
        <w:rFonts w:ascii="Symbol" w:hAnsi="Symbol" w:cs="Symbol" w:hint="default"/>
        <w:color w:val="333333"/>
        <w:sz w:val="20"/>
        <w:szCs w:val="20"/>
        <w:lang w:val="en-AU"/>
      </w:rPr>
    </w:lvl>
    <w:lvl w:ilvl="1">
      <w:start w:val="1"/>
      <w:numFmt w:val="lowerLetter"/>
      <w:lvlText w:val="%2."/>
      <w:lvlJc w:val="start"/>
      <w:pPr>
        <w:tabs>
          <w:tab w:val="num" w:pos="0"/>
        </w:tabs>
        <w:ind w:start="1440" w:hanging="360"/>
      </w:pPr>
      <w:rPr>
        <w:rFonts w:ascii="Courier New" w:hAnsi="Courier New" w:cs="Courier New"/>
      </w:rPr>
    </w:lvl>
    <w:lvl w:ilvl="2">
      <w:start w:val="1"/>
      <w:numFmt w:val="lowerRoman"/>
      <w:lvlText w:val="%2.%3."/>
      <w:lvlJc w:val="end"/>
      <w:pPr>
        <w:tabs>
          <w:tab w:val="num" w:pos="0"/>
        </w:tabs>
        <w:ind w:start="2160" w:hanging="180"/>
      </w:pPr>
      <w:rPr>
        <w:rFonts w:ascii="Wingdings" w:hAnsi="Wingdings" w:cs="Wingdings"/>
      </w:rPr>
    </w:lvl>
    <w:lvl w:ilvl="3">
      <w:start w:val="1"/>
      <w:numFmt w:val="decimal"/>
      <w:lvlText w:val="%2.%3.%4."/>
      <w:lvlJc w:val="start"/>
      <w:pPr>
        <w:tabs>
          <w:tab w:val="num" w:pos="0"/>
        </w:tabs>
        <w:ind w:start="2880" w:hanging="360"/>
      </w:pPr>
      <w:rPr/>
    </w:lvl>
    <w:lvl w:ilvl="4">
      <w:start w:val="1"/>
      <w:numFmt w:val="lowerLetter"/>
      <w:lvlText w:val="%2.%3.%4.%5."/>
      <w:lvlJc w:val="start"/>
      <w:pPr>
        <w:tabs>
          <w:tab w:val="num" w:pos="0"/>
        </w:tabs>
        <w:ind w:start="3600" w:hanging="360"/>
      </w:pPr>
      <w:rPr/>
    </w:lvl>
    <w:lvl w:ilvl="5">
      <w:start w:val="1"/>
      <w:numFmt w:val="lowerRoman"/>
      <w:lvlText w:val="%2.%3.%4.%5.%6."/>
      <w:lvlJc w:val="end"/>
      <w:pPr>
        <w:tabs>
          <w:tab w:val="num" w:pos="0"/>
        </w:tabs>
        <w:ind w:start="4320" w:hanging="180"/>
      </w:pPr>
      <w:rPr/>
    </w:lvl>
    <w:lvl w:ilvl="6">
      <w:start w:val="1"/>
      <w:numFmt w:val="decimal"/>
      <w:lvlText w:val="%2.%3.%4.%5.%6.%7."/>
      <w:lvlJc w:val="start"/>
      <w:pPr>
        <w:tabs>
          <w:tab w:val="num" w:pos="0"/>
        </w:tabs>
        <w:ind w:start="5040" w:hanging="360"/>
      </w:pPr>
      <w:rPr/>
    </w:lvl>
    <w:lvl w:ilvl="7">
      <w:start w:val="1"/>
      <w:numFmt w:val="lowerLetter"/>
      <w:lvlText w:val="%2.%3.%4.%5.%6.%7.%8."/>
      <w:lvlJc w:val="start"/>
      <w:pPr>
        <w:tabs>
          <w:tab w:val="num" w:pos="0"/>
        </w:tabs>
        <w:ind w:start="5760" w:hanging="360"/>
      </w:pPr>
      <w:rPr/>
    </w:lvl>
    <w:lvl w:ilvl="8">
      <w:start w:val="1"/>
      <w:numFmt w:val="lowerRoman"/>
      <w:lvlText w:val="%2.%3.%4.%5.%6.%7.%8.%9."/>
      <w:lvlJc w:val="end"/>
      <w:pPr>
        <w:tabs>
          <w:tab w:val="num" w:pos="0"/>
        </w:tabs>
        <w:ind w:start="6480" w:hanging="180"/>
      </w:pPr>
      <w:rPr/>
    </w:lvl>
  </w:abstractNum>
  <w:abstractNum w:abstractNumId="3">
    <w:lvl w:ilvl="0">
      <w:start w:val="1"/>
      <w:numFmt w:val="decimal"/>
      <w:lvlText w:val="%1."/>
      <w:lvlJc w:val="start"/>
      <w:pPr>
        <w:tabs>
          <w:tab w:val="num" w:pos="0"/>
        </w:tabs>
        <w:ind w:start="720" w:hanging="360"/>
      </w:pPr>
      <w:rPr>
        <w:rFonts w:cs="Helvetica"/>
      </w:rPr>
    </w:lvl>
    <w:lvl w:ilvl="1">
      <w:start w:val="1"/>
      <w:numFmt w:val="lowerLetter"/>
      <w:lvlText w:val="%2."/>
      <w:lvlJc w:val="start"/>
      <w:pPr>
        <w:tabs>
          <w:tab w:val="num" w:pos="0"/>
        </w:tabs>
        <w:ind w:start="1440" w:hanging="360"/>
      </w:pPr>
      <w:rPr/>
    </w:lvl>
    <w:lvl w:ilvl="2">
      <w:start w:val="1"/>
      <w:numFmt w:val="lowerRoman"/>
      <w:lvlText w:val="%2.%3."/>
      <w:lvlJc w:val="end"/>
      <w:pPr>
        <w:tabs>
          <w:tab w:val="num" w:pos="0"/>
        </w:tabs>
        <w:ind w:start="2160" w:hanging="180"/>
      </w:pPr>
      <w:rPr/>
    </w:lvl>
    <w:lvl w:ilvl="3">
      <w:start w:val="1"/>
      <w:numFmt w:val="decimal"/>
      <w:lvlText w:val="%2.%3.%4."/>
      <w:lvlJc w:val="start"/>
      <w:pPr>
        <w:tabs>
          <w:tab w:val="num" w:pos="0"/>
        </w:tabs>
        <w:ind w:start="2880" w:hanging="360"/>
      </w:pPr>
      <w:rPr/>
    </w:lvl>
    <w:lvl w:ilvl="4">
      <w:start w:val="1"/>
      <w:numFmt w:val="lowerLetter"/>
      <w:lvlText w:val="%2.%3.%4.%5."/>
      <w:lvlJc w:val="start"/>
      <w:pPr>
        <w:tabs>
          <w:tab w:val="num" w:pos="0"/>
        </w:tabs>
        <w:ind w:start="3600" w:hanging="360"/>
      </w:pPr>
      <w:rPr/>
    </w:lvl>
    <w:lvl w:ilvl="5">
      <w:start w:val="1"/>
      <w:numFmt w:val="lowerRoman"/>
      <w:lvlText w:val="%2.%3.%4.%5.%6."/>
      <w:lvlJc w:val="end"/>
      <w:pPr>
        <w:tabs>
          <w:tab w:val="num" w:pos="0"/>
        </w:tabs>
        <w:ind w:start="4320" w:hanging="180"/>
      </w:pPr>
      <w:rPr/>
    </w:lvl>
    <w:lvl w:ilvl="6">
      <w:start w:val="1"/>
      <w:numFmt w:val="decimal"/>
      <w:lvlText w:val="%2.%3.%4.%5.%6.%7."/>
      <w:lvlJc w:val="start"/>
      <w:pPr>
        <w:tabs>
          <w:tab w:val="num" w:pos="0"/>
        </w:tabs>
        <w:ind w:start="5040" w:hanging="360"/>
      </w:pPr>
      <w:rPr/>
    </w:lvl>
    <w:lvl w:ilvl="7">
      <w:start w:val="1"/>
      <w:numFmt w:val="lowerLetter"/>
      <w:lvlText w:val="%2.%3.%4.%5.%6.%7.%8."/>
      <w:lvlJc w:val="start"/>
      <w:pPr>
        <w:tabs>
          <w:tab w:val="num" w:pos="0"/>
        </w:tabs>
        <w:ind w:start="5760" w:hanging="360"/>
      </w:pPr>
      <w:rPr/>
    </w:lvl>
    <w:lvl w:ilvl="8">
      <w:start w:val="1"/>
      <w:numFmt w:val="lowerRoman"/>
      <w:lvlText w:val="%2.%3.%4.%5.%6.%7.%8.%9."/>
      <w:lvlJc w:val="end"/>
      <w:pPr>
        <w:tabs>
          <w:tab w:val="num" w:pos="0"/>
        </w:tabs>
        <w:ind w:start="6480" w:hanging="180"/>
      </w:pPr>
      <w:rPr/>
    </w:lvl>
  </w:abstractNum>
  <w:abstractNum w:abstractNumId="4">
    <w:lvl w:ilvl="0">
      <w:start w:val="1"/>
      <w:numFmt w:val="decimal"/>
      <w:lvlText w:val="%1."/>
      <w:lvlJc w:val="start"/>
      <w:pPr>
        <w:tabs>
          <w:tab w:val="num" w:pos="0"/>
        </w:tabs>
        <w:ind w:start="720" w:hanging="360"/>
      </w:pPr>
      <w:rPr>
        <w:rFonts w:cs="Arial"/>
        <w:strike w:val="false"/>
        <w:dstrike w:val="false"/>
      </w:rPr>
    </w:lvl>
    <w:lvl w:ilvl="1">
      <w:start w:val="1"/>
      <w:numFmt w:val="lowerLetter"/>
      <w:lvlText w:val="%2."/>
      <w:lvlJc w:val="start"/>
      <w:pPr>
        <w:tabs>
          <w:tab w:val="num" w:pos="0"/>
        </w:tabs>
        <w:ind w:start="1440" w:hanging="360"/>
      </w:pPr>
      <w:rPr/>
    </w:lvl>
    <w:lvl w:ilvl="2">
      <w:start w:val="1"/>
      <w:numFmt w:val="lowerRoman"/>
      <w:lvlText w:val="%2.%3."/>
      <w:lvlJc w:val="end"/>
      <w:pPr>
        <w:tabs>
          <w:tab w:val="num" w:pos="0"/>
        </w:tabs>
        <w:ind w:start="2160" w:hanging="180"/>
      </w:pPr>
      <w:rPr/>
    </w:lvl>
    <w:lvl w:ilvl="3">
      <w:start w:val="1"/>
      <w:numFmt w:val="decimal"/>
      <w:lvlText w:val="%2.%3.%4."/>
      <w:lvlJc w:val="start"/>
      <w:pPr>
        <w:tabs>
          <w:tab w:val="num" w:pos="0"/>
        </w:tabs>
        <w:ind w:start="2880" w:hanging="360"/>
      </w:pPr>
      <w:rPr/>
    </w:lvl>
    <w:lvl w:ilvl="4">
      <w:start w:val="1"/>
      <w:numFmt w:val="lowerLetter"/>
      <w:lvlText w:val="%2.%3.%4.%5."/>
      <w:lvlJc w:val="start"/>
      <w:pPr>
        <w:tabs>
          <w:tab w:val="num" w:pos="0"/>
        </w:tabs>
        <w:ind w:start="3600" w:hanging="360"/>
      </w:pPr>
      <w:rPr/>
    </w:lvl>
    <w:lvl w:ilvl="5">
      <w:start w:val="1"/>
      <w:numFmt w:val="lowerRoman"/>
      <w:lvlText w:val="%2.%3.%4.%5.%6."/>
      <w:lvlJc w:val="end"/>
      <w:pPr>
        <w:tabs>
          <w:tab w:val="num" w:pos="0"/>
        </w:tabs>
        <w:ind w:start="4320" w:hanging="180"/>
      </w:pPr>
      <w:rPr/>
    </w:lvl>
    <w:lvl w:ilvl="6">
      <w:start w:val="1"/>
      <w:numFmt w:val="decimal"/>
      <w:lvlText w:val="%2.%3.%4.%5.%6.%7."/>
      <w:lvlJc w:val="start"/>
      <w:pPr>
        <w:tabs>
          <w:tab w:val="num" w:pos="0"/>
        </w:tabs>
        <w:ind w:start="5040" w:hanging="360"/>
      </w:pPr>
      <w:rPr/>
    </w:lvl>
    <w:lvl w:ilvl="7">
      <w:start w:val="1"/>
      <w:numFmt w:val="lowerLetter"/>
      <w:lvlText w:val="%2.%3.%4.%5.%6.%7.%8."/>
      <w:lvlJc w:val="start"/>
      <w:pPr>
        <w:tabs>
          <w:tab w:val="num" w:pos="0"/>
        </w:tabs>
        <w:ind w:start="5760" w:hanging="360"/>
      </w:pPr>
      <w:rPr/>
    </w:lvl>
    <w:lvl w:ilvl="8">
      <w:start w:val="1"/>
      <w:numFmt w:val="lowerRoman"/>
      <w:lvlText w:val="%2.%3.%4.%5.%6.%7.%8.%9."/>
      <w:lvlJc w:val="end"/>
      <w:pPr>
        <w:tabs>
          <w:tab w:val="num" w:pos="0"/>
        </w:tabs>
        <w:ind w:start="6480" w:hanging="180"/>
      </w:pPr>
      <w:rPr/>
    </w:lvl>
  </w:abstractNum>
  <w:abstractNum w:abstractNumId="5">
    <w:lvl w:ilvl="0">
      <w:start w:val="1"/>
      <w:numFmt w:val="bullet"/>
      <w:lvlText w:val=""/>
      <w:lvlJc w:val="start"/>
      <w:pPr>
        <w:tabs>
          <w:tab w:val="num" w:pos="0"/>
        </w:tabs>
        <w:ind w:start="720" w:hanging="360"/>
      </w:pPr>
      <w:rPr>
        <w:rFonts w:ascii="Symbol" w:hAnsi="Symbol" w:cs="Symbol" w:hint="default"/>
        <w:strike w:val="false"/>
        <w:dstrike w:val="false"/>
        <w:sz w:val="24"/>
        <w:szCs w:val="24"/>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strike w:val="false"/>
        <w:dstrike w:val="false"/>
        <w:sz w:val="24"/>
        <w:szCs w:val="24"/>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strike w:val="false"/>
        <w:dstrike w:val="false"/>
        <w:sz w:val="24"/>
        <w:szCs w:val="24"/>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6">
    <w:lvl w:ilvl="0">
      <w:start w:val="1"/>
      <w:numFmt w:val="bullet"/>
      <w:suff w:val="nothing"/>
      <w:lvlText w:val=""/>
      <w:lvlJc w:val="start"/>
      <w:pPr>
        <w:tabs>
          <w:tab w:val="num" w:pos="0"/>
        </w:tabs>
        <w:ind w:start="0" w:hanging="0"/>
      </w:pPr>
      <w:rPr>
        <w:rFonts w:ascii="Wingdings" w:hAnsi="Wingdings" w:cs="Wingdings" w:hint="default"/>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7">
    <w:lvl w:ilvl="0">
      <w:start w:val="1"/>
      <w:numFmt w:val="bullet"/>
      <w:suff w:val="nothing"/>
      <w:lvlText w:val=""/>
      <w:lvlJc w:val="start"/>
      <w:pPr>
        <w:tabs>
          <w:tab w:val="num" w:pos="0"/>
        </w:tabs>
        <w:ind w:start="0" w:hanging="0"/>
      </w:pPr>
      <w:rPr>
        <w:rFonts w:ascii="OpenSymbol" w:hAnsi="OpenSymbol" w:cs="OpenSymbol" w:hint="default"/>
        <w:b/>
        <w:bCs/>
        <w:sz w:val="24"/>
        <w:szCs w:val="24"/>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8">
    <w:lvl w:ilvl="0">
      <w:start w:val="1"/>
      <w:numFmt w:val="decimal"/>
      <w:suff w:val="nothing"/>
      <w:lvlText w:val="%1."/>
      <w:lvlJc w:val="start"/>
      <w:pPr>
        <w:tabs>
          <w:tab w:val="num" w:pos="0"/>
        </w:tabs>
        <w:ind w:start="0" w:hanging="0"/>
      </w:pPr>
      <w:rPr>
        <w:rFonts w:ascii="Symbol" w:hAnsi="Symbol" w:cs="Symbol"/>
        <w:sz w:val="24"/>
        <w:szCs w:val="24"/>
      </w:rPr>
    </w:lvl>
    <w:lvl w:ilvl="1">
      <w:start w:val="1"/>
      <w:numFmt w:val="decimal"/>
      <w:lvlText w:val="%2."/>
      <w:lvlJc w:val="start"/>
      <w:pPr>
        <w:tabs>
          <w:tab w:val="num" w:pos="1080"/>
        </w:tabs>
        <w:ind w:start="1080" w:hanging="360"/>
      </w:pPr>
      <w:rPr>
        <w:rFonts w:ascii="Courier New" w:hAnsi="Courier New" w:cs="Courier New"/>
      </w:rPr>
    </w:lvl>
    <w:lvl w:ilvl="2">
      <w:start w:val="1"/>
      <w:numFmt w:val="decimal"/>
      <w:lvlText w:val="%3."/>
      <w:lvlJc w:val="start"/>
      <w:pPr>
        <w:tabs>
          <w:tab w:val="num" w:pos="1440"/>
        </w:tabs>
        <w:ind w:start="1440" w:hanging="360"/>
      </w:pPr>
      <w:rPr>
        <w:rFonts w:ascii="Wingdings" w:hAnsi="Wingdings" w:cs="Wingdings"/>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9">
    <w:lvl w:ilvl="0">
      <w:start w:val="1"/>
      <w:numFmt w:val="bullet"/>
      <w:lvlText w:val=""/>
      <w:lvlJc w:val="start"/>
      <w:pPr>
        <w:tabs>
          <w:tab w:val="num" w:pos="720"/>
        </w:tabs>
        <w:ind w:start="720" w:hanging="360"/>
      </w:pPr>
      <w:rPr>
        <w:rFonts w:ascii="Symbol" w:hAnsi="Symbol" w:cs="Symbol" w:hint="default"/>
        <w:strike w:val="false"/>
        <w:dstrike w:val="false"/>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strike w:val="false"/>
        <w:dstrike w:val="false"/>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strike w:val="false"/>
        <w:dstrike w:val="false"/>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10">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00"/>
  <w:embedSystemFonts/>
  <w:defaultTabStop w:val="720"/>
  <w:autoHyphenation w:val="true"/>
  <w:hyphenationZone w:val="0"/>
  <w:compat>
    <w:balanceSingleByteDoubleByteWidth/>
    <w:ulTrailSpace/>
    <w:adjustLineHeightInTabl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themeFontLang w:val="en-A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AU" w:eastAsia="en-AU"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lineRule="atLeast" w:line="100" w:before="0" w:after="0"/>
      <w:jc w:val="start"/>
    </w:pPr>
    <w:rPr>
      <w:rFonts w:ascii="Times New Roman" w:hAnsi="Times New Roman" w:eastAsia="SimSun" w:cs="Times New Roman"/>
      <w:color w:val="auto"/>
      <w:kern w:val="2"/>
      <w:sz w:val="24"/>
      <w:szCs w:val="24"/>
      <w:lang w:val="en-AU" w:eastAsia="hi-IN" w:bidi="hi-IN"/>
    </w:rPr>
  </w:style>
  <w:style w:type="paragraph" w:styleId="Heading2">
    <w:name w:val="heading 2"/>
    <w:basedOn w:val="Heading"/>
    <w:next w:val="BodyText"/>
    <w:qFormat/>
    <w:pPr>
      <w:numPr>
        <w:ilvl w:val="1"/>
        <w:numId w:val="1"/>
      </w:numPr>
      <w:outlineLvl w:val="1"/>
    </w:pPr>
    <w:rPr>
      <w:rFonts w:ascii="Times New Roman" w:hAnsi="Times New Roman" w:eastAsia="SimSun" w:cs="Lucida Sans"/>
      <w:b/>
      <w:bCs/>
      <w:sz w:val="36"/>
      <w:szCs w:val="36"/>
    </w:rPr>
  </w:style>
  <w:style w:type="character" w:styleId="DefaultParagraphFont" w:default="1">
    <w:name w:val="Default Paragraph Font"/>
    <w:uiPriority w:val="1"/>
    <w:semiHidden/>
    <w:unhideWhenUsed/>
    <w:qFormat/>
    <w:rPr/>
  </w:style>
  <w:style w:type="character" w:styleId="WW8Num1z0" w:customStyle="1">
    <w:name w:val="WW8Num1z0"/>
    <w:qFormat/>
    <w:rPr>
      <w:rFonts w:ascii="Symbol" w:hAnsi="Symbol" w:cs="Symbol"/>
      <w:color w:val="201F1E"/>
      <w:sz w:val="20"/>
      <w:szCs w:val="20"/>
    </w:rPr>
  </w:style>
  <w:style w:type="character" w:styleId="WW8Num1z1" w:customStyle="1">
    <w:name w:val="WW8Num1z1"/>
    <w:qFormat/>
    <w:rPr>
      <w:rFonts w:ascii="Courier New" w:hAnsi="Courier New" w:cs="Courier New"/>
    </w:rPr>
  </w:style>
  <w:style w:type="character" w:styleId="WW8Num1z2" w:customStyle="1">
    <w:name w:val="WW8Num1z2"/>
    <w:qFormat/>
    <w:rPr>
      <w:rFonts w:ascii="Wingdings" w:hAnsi="Wingdings" w:cs="Wingdings"/>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rFonts w:ascii="Symbol" w:hAnsi="Symbol" w:cs="OpenSymbol"/>
      <w:color w:val="333333"/>
      <w:sz w:val="20"/>
      <w:szCs w:val="20"/>
      <w:lang w:val="en-AU"/>
    </w:rPr>
  </w:style>
  <w:style w:type="character" w:styleId="WW8Num2z1" w:customStyle="1">
    <w:name w:val="WW8Num2z1"/>
    <w:qFormat/>
    <w:rPr>
      <w:rFonts w:ascii="Courier New" w:hAnsi="Courier New" w:cs="Courier New"/>
    </w:rPr>
  </w:style>
  <w:style w:type="character" w:styleId="WW8Num2z2" w:customStyle="1">
    <w:name w:val="WW8Num2z2"/>
    <w:qFormat/>
    <w:rPr>
      <w:rFonts w:ascii="Wingdings" w:hAnsi="Wingdings" w:cs="Wingdings"/>
    </w:rPr>
  </w:style>
  <w:style w:type="character" w:styleId="WW8Num2z3" w:customStyle="1">
    <w:name w:val="WW8Num2z3"/>
    <w:qFormat/>
    <w:rPr/>
  </w:style>
  <w:style w:type="character" w:styleId="WW8Num2z4" w:customStyle="1">
    <w:name w:val="WW8Num2z4"/>
    <w:qFormat/>
    <w:rPr/>
  </w:style>
  <w:style w:type="character" w:styleId="WW8Num2z5" w:customStyle="1">
    <w:name w:val="WW8Num2z5"/>
    <w:qFormat/>
    <w:rPr/>
  </w:style>
  <w:style w:type="character" w:styleId="WW8Num2z6" w:customStyle="1">
    <w:name w:val="WW8Num2z6"/>
    <w:qFormat/>
    <w:rPr/>
  </w:style>
  <w:style w:type="character" w:styleId="WW8Num2z7" w:customStyle="1">
    <w:name w:val="WW8Num2z7"/>
    <w:qFormat/>
    <w:rPr/>
  </w:style>
  <w:style w:type="character" w:styleId="WW8Num2z8" w:customStyle="1">
    <w:name w:val="WW8Num2z8"/>
    <w:qFormat/>
    <w:rPr/>
  </w:style>
  <w:style w:type="character" w:styleId="WW8Num3z0" w:customStyle="1">
    <w:name w:val="WW8Num3z0"/>
    <w:qFormat/>
    <w:rPr>
      <w:rFonts w:cs="Helvetica"/>
    </w:rPr>
  </w:style>
  <w:style w:type="character" w:styleId="WW8Num3z1" w:customStyle="1">
    <w:name w:val="WW8Num3z1"/>
    <w:qFormat/>
    <w:rPr/>
  </w:style>
  <w:style w:type="character" w:styleId="WW8Num3z2" w:customStyle="1">
    <w:name w:val="WW8Num3z2"/>
    <w:qFormat/>
    <w:rPr/>
  </w:style>
  <w:style w:type="character" w:styleId="WW8Num3z3" w:customStyle="1">
    <w:name w:val="WW8Num3z3"/>
    <w:qFormat/>
    <w:rPr/>
  </w:style>
  <w:style w:type="character" w:styleId="WW8Num3z4" w:customStyle="1">
    <w:name w:val="WW8Num3z4"/>
    <w:qFormat/>
    <w:rPr/>
  </w:style>
  <w:style w:type="character" w:styleId="WW8Num3z5" w:customStyle="1">
    <w:name w:val="WW8Num3z5"/>
    <w:qFormat/>
    <w:rPr/>
  </w:style>
  <w:style w:type="character" w:styleId="WW8Num3z6" w:customStyle="1">
    <w:name w:val="WW8Num3z6"/>
    <w:qFormat/>
    <w:rPr/>
  </w:style>
  <w:style w:type="character" w:styleId="WW8Num3z7" w:customStyle="1">
    <w:name w:val="WW8Num3z7"/>
    <w:qFormat/>
    <w:rPr/>
  </w:style>
  <w:style w:type="character" w:styleId="WW8Num3z8" w:customStyle="1">
    <w:name w:val="WW8Num3z8"/>
    <w:qFormat/>
    <w:rPr/>
  </w:style>
  <w:style w:type="character" w:styleId="WW8Num4z0" w:customStyle="1">
    <w:name w:val="WW8Num4z0"/>
    <w:qFormat/>
    <w:rPr>
      <w:rFonts w:cs="Arial"/>
      <w:strike w:val="false"/>
      <w:dstrike w:val="false"/>
    </w:rPr>
  </w:style>
  <w:style w:type="character" w:styleId="WW8Num4z1" w:customStyle="1">
    <w:name w:val="WW8Num4z1"/>
    <w:qFormat/>
    <w:rPr/>
  </w:style>
  <w:style w:type="character" w:styleId="WW8Num4z2" w:customStyle="1">
    <w:name w:val="WW8Num4z2"/>
    <w:qFormat/>
    <w:rPr/>
  </w:style>
  <w:style w:type="character" w:styleId="WW8Num4z3" w:customStyle="1">
    <w:name w:val="WW8Num4z3"/>
    <w:qFormat/>
    <w:rPr/>
  </w:style>
  <w:style w:type="character" w:styleId="WW8Num4z4" w:customStyle="1">
    <w:name w:val="WW8Num4z4"/>
    <w:qFormat/>
    <w:rPr/>
  </w:style>
  <w:style w:type="character" w:styleId="WW8Num4z5" w:customStyle="1">
    <w:name w:val="WW8Num4z5"/>
    <w:qFormat/>
    <w:rPr/>
  </w:style>
  <w:style w:type="character" w:styleId="WW8Num4z6" w:customStyle="1">
    <w:name w:val="WW8Num4z6"/>
    <w:qFormat/>
    <w:rPr/>
  </w:style>
  <w:style w:type="character" w:styleId="WW8Num4z7" w:customStyle="1">
    <w:name w:val="WW8Num4z7"/>
    <w:qFormat/>
    <w:rPr/>
  </w:style>
  <w:style w:type="character" w:styleId="WW8Num4z8" w:customStyle="1">
    <w:name w:val="WW8Num4z8"/>
    <w:qFormat/>
    <w:rPr/>
  </w:style>
  <w:style w:type="character" w:styleId="WW8Num5z0" w:customStyle="1">
    <w:name w:val="WW8Num5z0"/>
    <w:qFormat/>
    <w:rPr>
      <w:rFonts w:ascii="Symbol" w:hAnsi="Symbol" w:cs="OpenSymbol"/>
      <w:strike w:val="false"/>
      <w:dstrike w:val="false"/>
      <w:sz w:val="24"/>
      <w:szCs w:val="24"/>
    </w:rPr>
  </w:style>
  <w:style w:type="character" w:styleId="WW8Num5z1" w:customStyle="1">
    <w:name w:val="WW8Num5z1"/>
    <w:qFormat/>
    <w:rPr/>
  </w:style>
  <w:style w:type="character" w:styleId="WW8Num5z2" w:customStyle="1">
    <w:name w:val="WW8Num5z2"/>
    <w:qFormat/>
    <w:rPr/>
  </w:style>
  <w:style w:type="character" w:styleId="WW8Num6z0" w:customStyle="1">
    <w:name w:val="WW8Num6z0"/>
    <w:qFormat/>
    <w:rPr>
      <w:rFonts w:ascii="OpenSymbol" w:hAnsi="OpenSymbol" w:cs="OpenSymbol"/>
    </w:rPr>
  </w:style>
  <w:style w:type="character" w:styleId="WW8Num6z1" w:customStyle="1">
    <w:name w:val="WW8Num6z1"/>
    <w:qFormat/>
    <w:rPr/>
  </w:style>
  <w:style w:type="character" w:styleId="WW8Num6z2" w:customStyle="1">
    <w:name w:val="WW8Num6z2"/>
    <w:qFormat/>
    <w:rPr/>
  </w:style>
  <w:style w:type="character" w:styleId="WW8Num6z3" w:customStyle="1">
    <w:name w:val="WW8Num6z3"/>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7z0" w:customStyle="1">
    <w:name w:val="WW8Num7z0"/>
    <w:qFormat/>
    <w:rPr>
      <w:b/>
      <w:bCs/>
      <w:sz w:val="24"/>
      <w:szCs w:val="24"/>
    </w:rPr>
  </w:style>
  <w:style w:type="character" w:styleId="WW8Num7z1" w:customStyle="1">
    <w:name w:val="WW8Num7z1"/>
    <w:qFormat/>
    <w:rPr/>
  </w:style>
  <w:style w:type="character" w:styleId="WW8Num7z2" w:customStyle="1">
    <w:name w:val="WW8Num7z2"/>
    <w:qFormat/>
    <w:rPr/>
  </w:style>
  <w:style w:type="character" w:styleId="WW8Num7z3" w:customStyle="1">
    <w:name w:val="WW8Num7z3"/>
    <w:qFormat/>
    <w:rPr/>
  </w:style>
  <w:style w:type="character" w:styleId="WW8Num7z4" w:customStyle="1">
    <w:name w:val="WW8Num7z4"/>
    <w:qFormat/>
    <w:rPr/>
  </w:style>
  <w:style w:type="character" w:styleId="WW8Num7z5" w:customStyle="1">
    <w:name w:val="WW8Num7z5"/>
    <w:qFormat/>
    <w:rPr/>
  </w:style>
  <w:style w:type="character" w:styleId="WW8Num7z6" w:customStyle="1">
    <w:name w:val="WW8Num7z6"/>
    <w:qFormat/>
    <w:rPr/>
  </w:style>
  <w:style w:type="character" w:styleId="WW8Num7z7" w:customStyle="1">
    <w:name w:val="WW8Num7z7"/>
    <w:qFormat/>
    <w:rPr/>
  </w:style>
  <w:style w:type="character" w:styleId="WW8Num7z8" w:customStyle="1">
    <w:name w:val="WW8Num7z8"/>
    <w:qFormat/>
    <w:rPr/>
  </w:style>
  <w:style w:type="character" w:styleId="WW8Num8z0" w:customStyle="1">
    <w:name w:val="WW8Num8z0"/>
    <w:qFormat/>
    <w:rPr>
      <w:rFonts w:ascii="Symbol" w:hAnsi="Symbol" w:cs="Symbol"/>
      <w:sz w:val="24"/>
      <w:szCs w:val="24"/>
    </w:rPr>
  </w:style>
  <w:style w:type="character" w:styleId="WW8Num8z1" w:customStyle="1">
    <w:name w:val="WW8Num8z1"/>
    <w:qFormat/>
    <w:rPr>
      <w:rFonts w:ascii="Courier New" w:hAnsi="Courier New" w:cs="Courier New"/>
    </w:rPr>
  </w:style>
  <w:style w:type="character" w:styleId="WW8Num8z2" w:customStyle="1">
    <w:name w:val="WW8Num8z2"/>
    <w:qFormat/>
    <w:rPr>
      <w:rFonts w:ascii="Wingdings" w:hAnsi="Wingdings" w:cs="Wingdings"/>
    </w:rPr>
  </w:style>
  <w:style w:type="character" w:styleId="WW8Num8z3" w:customStyle="1">
    <w:name w:val="WW8Num8z3"/>
    <w:qFormat/>
    <w:rPr/>
  </w:style>
  <w:style w:type="character" w:styleId="WW8Num8z4" w:customStyle="1">
    <w:name w:val="WW8Num8z4"/>
    <w:qFormat/>
    <w:rPr/>
  </w:style>
  <w:style w:type="character" w:styleId="WW8Num8z5" w:customStyle="1">
    <w:name w:val="WW8Num8z5"/>
    <w:qFormat/>
    <w:rPr/>
  </w:style>
  <w:style w:type="character" w:styleId="WW8Num8z6" w:customStyle="1">
    <w:name w:val="WW8Num8z6"/>
    <w:qFormat/>
    <w:rPr/>
  </w:style>
  <w:style w:type="character" w:styleId="WW8Num8z7" w:customStyle="1">
    <w:name w:val="WW8Num8z7"/>
    <w:qFormat/>
    <w:rPr/>
  </w:style>
  <w:style w:type="character" w:styleId="WW8Num8z8" w:customStyle="1">
    <w:name w:val="WW8Num8z8"/>
    <w:qFormat/>
    <w:rPr/>
  </w:style>
  <w:style w:type="character" w:styleId="WW8Num9z0" w:customStyle="1">
    <w:name w:val="WW8Num9z0"/>
    <w:qFormat/>
    <w:rPr>
      <w:rFonts w:ascii="Symbol" w:hAnsi="Symbol" w:cs="OpenSymbol"/>
      <w:strike w:val="false"/>
      <w:dstrike w:val="false"/>
    </w:rPr>
  </w:style>
  <w:style w:type="character" w:styleId="WW8Num9z1" w:customStyle="1">
    <w:name w:val="WW8Num9z1"/>
    <w:qFormat/>
    <w:rPr>
      <w:rFonts w:ascii="OpenSymbol" w:hAnsi="OpenSymbol" w:cs="OpenSymbol"/>
    </w:rPr>
  </w:style>
  <w:style w:type="character" w:styleId="WW8Num5z3" w:customStyle="1">
    <w:name w:val="WW8Num5z3"/>
    <w:qFormat/>
    <w:rPr/>
  </w:style>
  <w:style w:type="character" w:styleId="WW8Num5z4" w:customStyle="1">
    <w:name w:val="WW8Num5z4"/>
    <w:qFormat/>
    <w:rPr/>
  </w:style>
  <w:style w:type="character" w:styleId="WW8Num5z5" w:customStyle="1">
    <w:name w:val="WW8Num5z5"/>
    <w:qFormat/>
    <w:rPr/>
  </w:style>
  <w:style w:type="character" w:styleId="WW8Num5z6" w:customStyle="1">
    <w:name w:val="WW8Num5z6"/>
    <w:qFormat/>
    <w:rPr/>
  </w:style>
  <w:style w:type="character" w:styleId="WW8Num5z7" w:customStyle="1">
    <w:name w:val="WW8Num5z7"/>
    <w:qFormat/>
    <w:rPr/>
  </w:style>
  <w:style w:type="character" w:styleId="WW8Num5z8" w:customStyle="1">
    <w:name w:val="WW8Num5z8"/>
    <w:qFormat/>
    <w:rPr/>
  </w:style>
  <w:style w:type="character" w:styleId="WW-DefaultParagraphFont" w:customStyle="1">
    <w:name w:val="WW-Default Paragraph Font"/>
    <w:qFormat/>
    <w:rPr/>
  </w:style>
  <w:style w:type="character" w:styleId="Hyperlink">
    <w:name w:val="Hyperlink"/>
    <w:rPr>
      <w:rFonts w:cs="Times New Roman"/>
      <w:color w:val="0000FF"/>
      <w:u w:val="single"/>
    </w:rPr>
  </w:style>
  <w:style w:type="character" w:styleId="FollowedHyperlink">
    <w:name w:val="FollowedHyperlink"/>
    <w:rPr>
      <w:rFonts w:cs="Times New Roman"/>
      <w:color w:val="00000A"/>
      <w:u w:val="single"/>
    </w:rPr>
  </w:style>
  <w:style w:type="character" w:styleId="HeaderChar" w:customStyle="1">
    <w:name w:val="Header Char"/>
    <w:qFormat/>
    <w:rPr>
      <w:rFonts w:cs="Times New Roman"/>
      <w:lang w:val="en-US"/>
    </w:rPr>
  </w:style>
  <w:style w:type="character" w:styleId="FooterChar" w:customStyle="1">
    <w:name w:val="Footer Char"/>
    <w:qFormat/>
    <w:rPr>
      <w:rFonts w:cs="Times New Roman"/>
      <w:lang w:val="en-US"/>
    </w:rPr>
  </w:style>
  <w:style w:type="character" w:styleId="Strong">
    <w:name w:val="Strong"/>
    <w:qFormat/>
    <w:rPr>
      <w:b/>
      <w:bCs/>
    </w:rPr>
  </w:style>
  <w:style w:type="character" w:styleId="Bulletsuser" w:customStyle="1">
    <w:name w:val="Bullets (user)"/>
    <w:qFormat/>
    <w:rPr>
      <w:rFonts w:ascii="OpenSymbol" w:hAnsi="OpenSymbol" w:eastAsia="OpenSymbol" w:cs="OpenSymbol"/>
    </w:rPr>
  </w:style>
  <w:style w:type="character" w:styleId="WWCharLFO1LVL1" w:customStyle="1">
    <w:name w:val="WW_CharLFO1LVL1"/>
    <w:qFormat/>
    <w:rPr>
      <w:rFonts w:ascii="Symbol" w:hAnsi="Symbol" w:cs="Symbol"/>
      <w:color w:val="201F1E"/>
      <w:sz w:val="20"/>
      <w:szCs w:val="20"/>
    </w:rPr>
  </w:style>
  <w:style w:type="character" w:styleId="WWCharLFO1LVL2" w:customStyle="1">
    <w:name w:val="WW_CharLFO1LVL2"/>
    <w:qFormat/>
    <w:rPr>
      <w:rFonts w:ascii="Courier New" w:hAnsi="Courier New" w:cs="Courier New"/>
    </w:rPr>
  </w:style>
  <w:style w:type="character" w:styleId="WWCharLFO1LVL3" w:customStyle="1">
    <w:name w:val="WW_CharLFO1LVL3"/>
    <w:qFormat/>
    <w:rPr>
      <w:rFonts w:ascii="Wingdings" w:hAnsi="Wingdings" w:cs="Wingdings"/>
    </w:rPr>
  </w:style>
  <w:style w:type="character" w:styleId="WWCharLFO1LVL4" w:customStyle="1">
    <w:name w:val="WW_CharLFO1LVL4"/>
    <w:qFormat/>
    <w:rPr>
      <w:rFonts w:ascii="Symbol" w:hAnsi="Symbol" w:cs="Symbol"/>
      <w:color w:val="201F1E"/>
      <w:sz w:val="20"/>
      <w:szCs w:val="20"/>
    </w:rPr>
  </w:style>
  <w:style w:type="character" w:styleId="WWCharLFO1LVL5" w:customStyle="1">
    <w:name w:val="WW_CharLFO1LVL5"/>
    <w:qFormat/>
    <w:rPr>
      <w:rFonts w:ascii="Courier New" w:hAnsi="Courier New" w:cs="Courier New"/>
    </w:rPr>
  </w:style>
  <w:style w:type="character" w:styleId="WWCharLFO1LVL6" w:customStyle="1">
    <w:name w:val="WW_CharLFO1LVL6"/>
    <w:qFormat/>
    <w:rPr>
      <w:rFonts w:ascii="Wingdings" w:hAnsi="Wingdings" w:cs="Wingdings"/>
    </w:rPr>
  </w:style>
  <w:style w:type="character" w:styleId="WWCharLFO1LVL7" w:customStyle="1">
    <w:name w:val="WW_CharLFO1LVL7"/>
    <w:qFormat/>
    <w:rPr>
      <w:rFonts w:ascii="Symbol" w:hAnsi="Symbol" w:cs="Symbol"/>
      <w:color w:val="201F1E"/>
      <w:sz w:val="20"/>
      <w:szCs w:val="20"/>
    </w:rPr>
  </w:style>
  <w:style w:type="character" w:styleId="WWCharLFO1LVL8" w:customStyle="1">
    <w:name w:val="WW_CharLFO1LVL8"/>
    <w:qFormat/>
    <w:rPr>
      <w:rFonts w:ascii="Courier New" w:hAnsi="Courier New" w:cs="Courier New"/>
    </w:rPr>
  </w:style>
  <w:style w:type="character" w:styleId="WWCharLFO1LVL9" w:customStyle="1">
    <w:name w:val="WW_CharLFO1LVL9"/>
    <w:qFormat/>
    <w:rPr>
      <w:rFonts w:ascii="Wingdings" w:hAnsi="Wingdings" w:cs="Wingdings"/>
    </w:rPr>
  </w:style>
  <w:style w:type="character" w:styleId="WWCharLFO2LVL1" w:customStyle="1">
    <w:name w:val="WW_CharLFO2LVL1"/>
    <w:qFormat/>
    <w:rPr>
      <w:rFonts w:ascii="Symbol" w:hAnsi="Symbol" w:cs="OpenSymbol"/>
      <w:color w:val="333333"/>
      <w:sz w:val="20"/>
      <w:szCs w:val="20"/>
    </w:rPr>
  </w:style>
  <w:style w:type="character" w:styleId="WWCharLFO2LVL2" w:customStyle="1">
    <w:name w:val="WW_CharLFO2LVL2"/>
    <w:qFormat/>
    <w:rPr>
      <w:rFonts w:ascii="Symbol" w:hAnsi="Symbol" w:cs="OpenSymbol"/>
      <w:color w:val="333333"/>
      <w:sz w:val="20"/>
      <w:szCs w:val="20"/>
    </w:rPr>
  </w:style>
  <w:style w:type="character" w:styleId="WWCharLFO2LVL3" w:customStyle="1">
    <w:name w:val="WW_CharLFO2LVL3"/>
    <w:qFormat/>
    <w:rPr>
      <w:rFonts w:ascii="Symbol" w:hAnsi="Symbol" w:cs="OpenSymbol"/>
      <w:color w:val="333333"/>
      <w:sz w:val="20"/>
      <w:szCs w:val="20"/>
    </w:rPr>
  </w:style>
  <w:style w:type="character" w:styleId="WWCharLFO2LVL4" w:customStyle="1">
    <w:name w:val="WW_CharLFO2LVL4"/>
    <w:qFormat/>
    <w:rPr>
      <w:rFonts w:ascii="Symbol" w:hAnsi="Symbol" w:cs="OpenSymbol"/>
      <w:color w:val="333333"/>
      <w:sz w:val="20"/>
      <w:szCs w:val="20"/>
    </w:rPr>
  </w:style>
  <w:style w:type="character" w:styleId="WWCharLFO2LVL5" w:customStyle="1">
    <w:name w:val="WW_CharLFO2LVL5"/>
    <w:qFormat/>
    <w:rPr>
      <w:rFonts w:ascii="Symbol" w:hAnsi="Symbol" w:cs="OpenSymbol"/>
      <w:color w:val="333333"/>
      <w:sz w:val="20"/>
      <w:szCs w:val="20"/>
    </w:rPr>
  </w:style>
  <w:style w:type="character" w:styleId="WWCharLFO2LVL6" w:customStyle="1">
    <w:name w:val="WW_CharLFO2LVL6"/>
    <w:qFormat/>
    <w:rPr>
      <w:rFonts w:ascii="Symbol" w:hAnsi="Symbol" w:cs="OpenSymbol"/>
      <w:color w:val="333333"/>
      <w:sz w:val="20"/>
      <w:szCs w:val="20"/>
    </w:rPr>
  </w:style>
  <w:style w:type="character" w:styleId="WWCharLFO2LVL7" w:customStyle="1">
    <w:name w:val="WW_CharLFO2LVL7"/>
    <w:qFormat/>
    <w:rPr>
      <w:rFonts w:ascii="Symbol" w:hAnsi="Symbol" w:cs="OpenSymbol"/>
      <w:color w:val="333333"/>
      <w:sz w:val="20"/>
      <w:szCs w:val="20"/>
    </w:rPr>
  </w:style>
  <w:style w:type="character" w:styleId="WWCharLFO2LVL8" w:customStyle="1">
    <w:name w:val="WW_CharLFO2LVL8"/>
    <w:qFormat/>
    <w:rPr>
      <w:rFonts w:ascii="Symbol" w:hAnsi="Symbol" w:cs="OpenSymbol"/>
      <w:color w:val="333333"/>
      <w:sz w:val="20"/>
      <w:szCs w:val="20"/>
    </w:rPr>
  </w:style>
  <w:style w:type="character" w:styleId="WWCharLFO2LVL9" w:customStyle="1">
    <w:name w:val="WW_CharLFO2LVL9"/>
    <w:qFormat/>
    <w:rPr>
      <w:rFonts w:ascii="Symbol" w:hAnsi="Symbol" w:cs="OpenSymbol"/>
      <w:color w:val="333333"/>
      <w:sz w:val="20"/>
      <w:szCs w:val="20"/>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88" w:before="0" w:after="140"/>
    </w:pPr>
    <w:rPr/>
  </w:style>
  <w:style w:type="paragraph" w:styleId="List">
    <w:name w:val="List"/>
    <w:basedOn w:val="BodyText"/>
    <w:pPr/>
    <w:rPr>
      <w:rFonts w:cs="Arial"/>
    </w:rPr>
  </w:style>
  <w:style w:type="paragraph" w:styleId="Caption" w:customStyle="1">
    <w:name w:val="caption"/>
    <w:basedOn w:val="Normal"/>
    <w:qFormat/>
    <w:pPr>
      <w:suppressLineNumbers/>
      <w:spacing w:before="120" w:after="120"/>
    </w:pPr>
    <w:rPr>
      <w:rFonts w:cs="Arial"/>
      <w:i/>
      <w:iCs/>
    </w:rPr>
  </w:style>
  <w:style w:type="paragraph" w:styleId="Index" w:customStyle="1">
    <w:name w:val="Index"/>
    <w:basedOn w:val="Normal"/>
    <w:qFormat/>
    <w:pPr>
      <w:suppressLineNumbers/>
    </w:pPr>
    <w:rPr>
      <w:rFonts w:cs="Arial"/>
    </w:rPr>
  </w:style>
  <w:style w:type="paragraph" w:styleId="HeaderandFooter">
    <w:name w:val="Header and Footer"/>
    <w:basedOn w:val="Normal"/>
    <w:qFormat/>
    <w:pPr/>
    <w:rPr/>
  </w:style>
  <w:style w:type="paragraph" w:styleId="Header">
    <w:name w:val="header"/>
    <w:basedOn w:val="Normal"/>
    <w:pPr>
      <w:suppressLineNumbers/>
      <w:tabs>
        <w:tab w:val="clear" w:pos="720"/>
        <w:tab w:val="center" w:pos="4513" w:leader="none"/>
        <w:tab w:val="right" w:pos="9026" w:leader="none"/>
      </w:tabs>
    </w:pPr>
    <w:rPr/>
  </w:style>
  <w:style w:type="paragraph" w:styleId="Footer">
    <w:name w:val="footer"/>
    <w:basedOn w:val="Normal"/>
    <w:pPr>
      <w:suppressLineNumbers/>
      <w:tabs>
        <w:tab w:val="clear" w:pos="720"/>
        <w:tab w:val="center" w:pos="4513" w:leader="none"/>
        <w:tab w:val="right" w:pos="9026" w:leader="none"/>
      </w:tabs>
    </w:pPr>
    <w:rPr/>
  </w:style>
  <w:style w:type="paragraph" w:styleId="TableContents" w:customStyle="1">
    <w:name w:val="Table Contents"/>
    <w:basedOn w:val="Normal"/>
    <w:qFormat/>
    <w:pPr>
      <w:suppressLineNumbers/>
    </w:pPr>
    <w:rPr/>
  </w:style>
  <w:style w:type="paragraph" w:styleId="TableHeading" w:customStyle="1">
    <w:name w:val="Table Heading"/>
    <w:basedOn w:val="TableContents"/>
    <w:qFormat/>
    <w:pPr>
      <w:jc w:val="center"/>
    </w:pPr>
    <w:rPr>
      <w:b/>
      <w:bCs/>
    </w:rPr>
  </w:style>
  <w:style w:type="paragraph" w:styleId="ListParagraph">
    <w:name w:val="List Paragraph"/>
    <w:basedOn w:val="Normal"/>
    <w:qFormat/>
    <w:pPr>
      <w:ind w:start="720"/>
    </w:pPr>
    <w:rPr/>
  </w:style>
  <w:style w:type="paragraph" w:styleId="Revision">
    <w:name w:val="Revision"/>
    <w:qFormat/>
    <w:pPr>
      <w:widowControl/>
      <w:suppressAutoHyphens w:val="true"/>
      <w:bidi w:val="0"/>
      <w:spacing w:lineRule="atLeast" w:line="100" w:before="0" w:after="0"/>
      <w:jc w:val="start"/>
    </w:pPr>
    <w:rPr>
      <w:rFonts w:ascii="Times New Roman" w:hAnsi="Times New Roman" w:eastAsia="SimSun" w:cs="Times New Roman"/>
      <w:color w:val="auto"/>
      <w:kern w:val="2"/>
      <w:sz w:val="24"/>
      <w:szCs w:val="21"/>
      <w:lang w:val="en-AU" w:eastAsia="hi-IN" w:bidi="hi-IN"/>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19</TotalTime>
  <Application>LibreOffice/26.2.1.2$Windows_X86_64 LibreOffice_project/620$Build-2</Application>
  <AppVersion>15.0000</AppVersion>
  <Pages>6</Pages>
  <Words>2123</Words>
  <Characters>10772</Characters>
  <CharactersWithSpaces>12744</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2026-03-22T19:30:00Z</dcterms:created>
  <dc:creator>NSWRA Secretary</dc:creator>
  <dc:description/>
  <dc:language>en-AU</dc:language>
  <cp:lastModifiedBy/>
  <cp:lastPrinted>2025-06-30T19:51:00Z</cp:lastPrinted>
  <dcterms:modified xsi:type="dcterms:W3CDTF">2026-04-03T18:38:53Z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